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6.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drawings/drawing7.xml" ContentType="application/vnd.openxmlformats-officedocument.drawingml.chartshapes+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18"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4A0" w:firstRow="1" w:lastRow="0" w:firstColumn="1" w:lastColumn="0" w:noHBand="0" w:noVBand="1"/>
      </w:tblPr>
      <w:tblGrid>
        <w:gridCol w:w="6352"/>
        <w:gridCol w:w="479"/>
        <w:gridCol w:w="2139"/>
        <w:gridCol w:w="2348"/>
      </w:tblGrid>
      <w:tr w:rsidR="0048469C" w:rsidRPr="006D2F55" w:rsidTr="009B4FB0">
        <w:trPr>
          <w:trHeight w:val="710"/>
          <w:jc w:val="center"/>
        </w:trPr>
        <w:tc>
          <w:tcPr>
            <w:tcW w:w="8970" w:type="dxa"/>
            <w:gridSpan w:val="3"/>
            <w:shd w:val="clear" w:color="auto" w:fill="0070C0"/>
            <w:vAlign w:val="center"/>
          </w:tcPr>
          <w:p w:rsidR="0048469C" w:rsidRPr="006D2F55" w:rsidRDefault="0048469C" w:rsidP="0048469C">
            <w:pPr>
              <w:rPr>
                <w:rFonts w:ascii="Times New Roman" w:hAnsi="Times New Roman" w:cs="Times New Roman"/>
                <w:b/>
                <w:color w:val="FFFFFF" w:themeColor="background1"/>
                <w:sz w:val="52"/>
                <w:szCs w:val="52"/>
              </w:rPr>
            </w:pPr>
            <w:r w:rsidRPr="001704E5">
              <w:rPr>
                <w:rFonts w:ascii="Times New Roman" w:hAnsi="Times New Roman" w:cs="Times New Roman"/>
                <w:b/>
                <w:color w:val="FFFFFF" w:themeColor="background1"/>
                <w:sz w:val="44"/>
                <w:szCs w:val="52"/>
              </w:rPr>
              <w:t>HOSE-Index Series</w:t>
            </w:r>
          </w:p>
        </w:tc>
        <w:tc>
          <w:tcPr>
            <w:tcW w:w="2348" w:type="dxa"/>
            <w:shd w:val="clear" w:color="auto" w:fill="0070C0"/>
            <w:vAlign w:val="bottom"/>
          </w:tcPr>
          <w:p w:rsidR="0048469C" w:rsidRPr="00D6169B" w:rsidRDefault="0048469C" w:rsidP="009240E0">
            <w:pPr>
              <w:spacing w:after="120"/>
              <w:jc w:val="right"/>
              <w:rPr>
                <w:rFonts w:ascii="Times New Roman" w:eastAsia="Times New Roman" w:hAnsi="Times New Roman" w:cs="Times New Roman"/>
                <w:b/>
                <w:color w:val="FFFFFF" w:themeColor="background1"/>
                <w:sz w:val="18"/>
                <w:szCs w:val="18"/>
              </w:rPr>
            </w:pPr>
            <w:r w:rsidRPr="00D6169B">
              <w:rPr>
                <w:rFonts w:ascii="Times New Roman" w:eastAsia="Times New Roman" w:hAnsi="Times New Roman" w:cs="Times New Roman"/>
                <w:b/>
                <w:color w:val="FFFFFF" w:themeColor="background1"/>
                <w:sz w:val="18"/>
                <w:szCs w:val="18"/>
              </w:rPr>
              <w:t>Data as at:</w:t>
            </w:r>
            <w:r w:rsidR="009240E0">
              <w:rPr>
                <w:rFonts w:ascii="Times New Roman" w:eastAsia="Times New Roman" w:hAnsi="Times New Roman" w:cs="Times New Roman"/>
                <w:b/>
                <w:color w:val="FFFFFF" w:themeColor="background1"/>
                <w:sz w:val="18"/>
                <w:szCs w:val="18"/>
              </w:rPr>
              <w:t xml:space="preserve"> </w:t>
            </w:r>
            <w:r w:rsidR="001D5280">
              <w:rPr>
                <w:rFonts w:ascii="Times New Roman" w:eastAsia="Times New Roman" w:hAnsi="Times New Roman" w:cs="Times New Roman"/>
                <w:b/>
                <w:color w:val="FFFFFF" w:themeColor="background1"/>
                <w:sz w:val="18"/>
                <w:szCs w:val="18"/>
              </w:rPr>
              <w:t>31</w:t>
            </w:r>
            <w:r w:rsidR="00E56FEF">
              <w:rPr>
                <w:rFonts w:ascii="Times New Roman" w:eastAsia="Times New Roman" w:hAnsi="Times New Roman" w:cs="Times New Roman"/>
                <w:b/>
                <w:color w:val="FFFFFF" w:themeColor="background1"/>
                <w:sz w:val="18"/>
                <w:szCs w:val="18"/>
              </w:rPr>
              <w:t xml:space="preserve"> </w:t>
            </w:r>
            <w:r w:rsidR="001D5280">
              <w:rPr>
                <w:rFonts w:ascii="Times New Roman" w:eastAsia="Times New Roman" w:hAnsi="Times New Roman" w:cs="Times New Roman"/>
                <w:b/>
                <w:color w:val="FFFFFF" w:themeColor="background1"/>
                <w:sz w:val="18"/>
                <w:szCs w:val="18"/>
              </w:rPr>
              <w:t>May</w:t>
            </w:r>
            <w:r w:rsidR="008B2799">
              <w:rPr>
                <w:rFonts w:ascii="Times New Roman" w:eastAsia="Times New Roman" w:hAnsi="Times New Roman" w:cs="Times New Roman"/>
                <w:b/>
                <w:color w:val="FFFFFF" w:themeColor="background1"/>
                <w:sz w:val="18"/>
                <w:szCs w:val="18"/>
              </w:rPr>
              <w:t xml:space="preserve"> 201</w:t>
            </w:r>
            <w:r w:rsidR="002233E1">
              <w:rPr>
                <w:rFonts w:ascii="Times New Roman" w:eastAsia="Times New Roman" w:hAnsi="Times New Roman" w:cs="Times New Roman"/>
                <w:b/>
                <w:color w:val="FFFFFF" w:themeColor="background1"/>
                <w:sz w:val="18"/>
                <w:szCs w:val="18"/>
              </w:rPr>
              <w:t>9</w:t>
            </w:r>
          </w:p>
        </w:tc>
      </w:tr>
      <w:tr w:rsidR="00CF648E" w:rsidRPr="006D2F55" w:rsidTr="0048469C">
        <w:trPr>
          <w:trHeight w:hRule="exact" w:val="447"/>
          <w:jc w:val="center"/>
        </w:trPr>
        <w:tc>
          <w:tcPr>
            <w:tcW w:w="11318" w:type="dxa"/>
            <w:gridSpan w:val="4"/>
            <w:vAlign w:val="center"/>
          </w:tcPr>
          <w:p w:rsidR="00CF648E" w:rsidRPr="001704E5" w:rsidRDefault="0048469C" w:rsidP="00CE3185">
            <w:pPr>
              <w:rPr>
                <w:rFonts w:ascii="Times New Roman" w:hAnsi="Times New Roman" w:cs="Times New Roman"/>
                <w:sz w:val="16"/>
                <w:szCs w:val="16"/>
              </w:rPr>
            </w:pPr>
            <w:r w:rsidRPr="001704E5">
              <w:rPr>
                <w:rFonts w:ascii="Times New Roman" w:hAnsi="Times New Roman" w:cs="Times New Roman"/>
                <w:b/>
                <w:sz w:val="16"/>
                <w:szCs w:val="16"/>
              </w:rPr>
              <w:t xml:space="preserve">HOSE-Index </w:t>
            </w:r>
            <w:r w:rsidRPr="001704E5">
              <w:rPr>
                <w:rFonts w:ascii="Times New Roman" w:hAnsi="Times New Roman" w:cs="Times New Roman"/>
                <w:sz w:val="16"/>
                <w:szCs w:val="16"/>
              </w:rPr>
              <w:t xml:space="preserve">is a </w:t>
            </w:r>
            <w:r w:rsidR="00650D87">
              <w:rPr>
                <w:rFonts w:ascii="Times New Roman" w:hAnsi="Times New Roman" w:cs="Times New Roman"/>
                <w:sz w:val="16"/>
                <w:szCs w:val="16"/>
              </w:rPr>
              <w:t xml:space="preserve">market-capitalization </w:t>
            </w:r>
            <w:r w:rsidRPr="001704E5">
              <w:rPr>
                <w:rFonts w:ascii="Times New Roman" w:hAnsi="Times New Roman" w:cs="Times New Roman"/>
                <w:sz w:val="16"/>
                <w:szCs w:val="16"/>
              </w:rPr>
              <w:t xml:space="preserve">weighted investable index series comprised of companies listed on the </w:t>
            </w:r>
            <w:proofErr w:type="spellStart"/>
            <w:r w:rsidRPr="001704E5">
              <w:rPr>
                <w:rFonts w:ascii="Times New Roman" w:hAnsi="Times New Roman" w:cs="Times New Roman"/>
                <w:sz w:val="16"/>
                <w:szCs w:val="16"/>
              </w:rPr>
              <w:t>Hochiminh</w:t>
            </w:r>
            <w:proofErr w:type="spellEnd"/>
            <w:r w:rsidRPr="001704E5">
              <w:rPr>
                <w:rFonts w:ascii="Times New Roman" w:hAnsi="Times New Roman" w:cs="Times New Roman"/>
                <w:sz w:val="16"/>
                <w:szCs w:val="16"/>
              </w:rPr>
              <w:t xml:space="preserve"> Stock Exchange (HOSE). The constituents are</w:t>
            </w:r>
            <w:r w:rsidR="00597255">
              <w:rPr>
                <w:rFonts w:ascii="Times New Roman" w:hAnsi="Times New Roman" w:cs="Times New Roman"/>
                <w:sz w:val="16"/>
                <w:szCs w:val="16"/>
              </w:rPr>
              <w:t xml:space="preserve"> screened for eligibility, free-</w:t>
            </w:r>
            <w:r w:rsidRPr="001704E5">
              <w:rPr>
                <w:rFonts w:ascii="Times New Roman" w:hAnsi="Times New Roman" w:cs="Times New Roman"/>
                <w:sz w:val="16"/>
                <w:szCs w:val="16"/>
              </w:rPr>
              <w:t>float and liquidity. HOSE-Index Series cover</w:t>
            </w:r>
            <w:r>
              <w:rPr>
                <w:rFonts w:ascii="Times New Roman" w:hAnsi="Times New Roman" w:cs="Times New Roman"/>
                <w:sz w:val="16"/>
                <w:szCs w:val="16"/>
              </w:rPr>
              <w:t>s</w:t>
            </w:r>
            <w:r w:rsidRPr="001704E5">
              <w:rPr>
                <w:rFonts w:ascii="Times New Roman" w:hAnsi="Times New Roman" w:cs="Times New Roman"/>
                <w:sz w:val="16"/>
                <w:szCs w:val="16"/>
              </w:rPr>
              <w:t xml:space="preserve"> over 90% total traded value and </w:t>
            </w:r>
            <w:r w:rsidR="00CE3185">
              <w:rPr>
                <w:rFonts w:ascii="Times New Roman" w:hAnsi="Times New Roman" w:cs="Times New Roman"/>
                <w:sz w:val="16"/>
                <w:szCs w:val="16"/>
              </w:rPr>
              <w:t>8</w:t>
            </w:r>
            <w:r w:rsidRPr="001704E5">
              <w:rPr>
                <w:rFonts w:ascii="Times New Roman" w:hAnsi="Times New Roman" w:cs="Times New Roman"/>
                <w:sz w:val="16"/>
                <w:szCs w:val="16"/>
              </w:rPr>
              <w:t>0% HOSE’s market capitalization.</w:t>
            </w:r>
          </w:p>
        </w:tc>
      </w:tr>
      <w:tr w:rsidR="00CF648E" w:rsidRPr="006D2F55" w:rsidTr="009B4FB0">
        <w:trPr>
          <w:trHeight w:val="298"/>
          <w:jc w:val="center"/>
        </w:trPr>
        <w:tc>
          <w:tcPr>
            <w:tcW w:w="6831" w:type="dxa"/>
            <w:gridSpan w:val="2"/>
            <w:shd w:val="clear" w:color="auto" w:fill="0070C0"/>
            <w:vAlign w:val="center"/>
          </w:tcPr>
          <w:p w:rsidR="00CF648E" w:rsidRPr="006D2F55" w:rsidRDefault="0048469C" w:rsidP="00C84839">
            <w:pPr>
              <w:tabs>
                <w:tab w:val="center" w:pos="2700"/>
                <w:tab w:val="left" w:pos="4236"/>
              </w:tabs>
              <w:rPr>
                <w:rFonts w:ascii="Times New Roman" w:hAnsi="Times New Roman" w:cs="Times New Roman"/>
              </w:rPr>
            </w:pPr>
            <w:r w:rsidRPr="006D2F55">
              <w:rPr>
                <w:rFonts w:ascii="Times New Roman" w:hAnsi="Times New Roman" w:cs="Times New Roman"/>
                <w:b/>
                <w:color w:val="FFFFFF" w:themeColor="background1"/>
              </w:rPr>
              <w:t>HOSE-Index Structur</w:t>
            </w:r>
            <w:r>
              <w:rPr>
                <w:rFonts w:ascii="Times New Roman" w:hAnsi="Times New Roman" w:cs="Times New Roman"/>
                <w:b/>
                <w:color w:val="FFFFFF" w:themeColor="background1"/>
              </w:rPr>
              <w:t>e</w:t>
            </w:r>
          </w:p>
        </w:tc>
        <w:tc>
          <w:tcPr>
            <w:tcW w:w="2139" w:type="dxa"/>
            <w:shd w:val="clear" w:color="auto" w:fill="auto"/>
            <w:vAlign w:val="center"/>
          </w:tcPr>
          <w:p w:rsidR="00CF648E" w:rsidRPr="006D2F55" w:rsidRDefault="00CF648E" w:rsidP="00C84839">
            <w:pPr>
              <w:jc w:val="center"/>
              <w:rPr>
                <w:rFonts w:ascii="Times New Roman" w:hAnsi="Times New Roman" w:cs="Times New Roman"/>
              </w:rPr>
            </w:pPr>
          </w:p>
        </w:tc>
        <w:tc>
          <w:tcPr>
            <w:tcW w:w="2348" w:type="dxa"/>
            <w:shd w:val="clear" w:color="auto" w:fill="0070C0"/>
            <w:vAlign w:val="center"/>
          </w:tcPr>
          <w:p w:rsidR="00CF648E" w:rsidRPr="006D2F55" w:rsidRDefault="0048469C" w:rsidP="00ED22AA">
            <w:pPr>
              <w:rPr>
                <w:rFonts w:ascii="Times New Roman" w:hAnsi="Times New Roman" w:cs="Times New Roman"/>
                <w:b/>
                <w:color w:val="FFFFFF" w:themeColor="background1"/>
              </w:rPr>
            </w:pPr>
            <w:r w:rsidRPr="006D2F55">
              <w:rPr>
                <w:rFonts w:ascii="Times New Roman" w:hAnsi="Times New Roman" w:cs="Times New Roman"/>
                <w:b/>
                <w:color w:val="FFFFFF" w:themeColor="background1"/>
              </w:rPr>
              <w:t>Features</w:t>
            </w:r>
          </w:p>
        </w:tc>
      </w:tr>
      <w:tr w:rsidR="00CF648E" w:rsidRPr="006D2F55" w:rsidTr="0074250D">
        <w:tblPrEx>
          <w:tblCellMar>
            <w:left w:w="108" w:type="dxa"/>
            <w:right w:w="108" w:type="dxa"/>
          </w:tblCellMar>
        </w:tblPrEx>
        <w:trPr>
          <w:trHeight w:hRule="exact" w:val="5206"/>
          <w:jc w:val="center"/>
        </w:trPr>
        <w:tc>
          <w:tcPr>
            <w:tcW w:w="8970" w:type="dxa"/>
            <w:gridSpan w:val="3"/>
          </w:tcPr>
          <w:p w:rsidR="0048469C" w:rsidRPr="001704E5" w:rsidRDefault="0048469C" w:rsidP="0048469C">
            <w:pPr>
              <w:spacing w:before="60"/>
              <w:jc w:val="both"/>
              <w:rPr>
                <w:rFonts w:ascii="Times New Roman" w:hAnsi="Times New Roman" w:cs="Times New Roman"/>
                <w:b/>
                <w:sz w:val="16"/>
                <w:szCs w:val="16"/>
              </w:rPr>
            </w:pPr>
            <w:proofErr w:type="spellStart"/>
            <w:r w:rsidRPr="001704E5">
              <w:rPr>
                <w:rFonts w:ascii="Times New Roman" w:hAnsi="Times New Roman" w:cs="Times New Roman"/>
                <w:b/>
                <w:sz w:val="16"/>
                <w:szCs w:val="16"/>
              </w:rPr>
              <w:t>VNAllshare</w:t>
            </w:r>
            <w:proofErr w:type="spellEnd"/>
            <w:r w:rsidRPr="001704E5">
              <w:rPr>
                <w:rFonts w:ascii="Times New Roman" w:hAnsi="Times New Roman" w:cs="Times New Roman"/>
                <w:b/>
                <w:sz w:val="16"/>
                <w:szCs w:val="16"/>
              </w:rPr>
              <w:t xml:space="preserve"> </w:t>
            </w:r>
            <w:r w:rsidRPr="001704E5">
              <w:rPr>
                <w:rFonts w:ascii="Times New Roman" w:hAnsi="Times New Roman" w:cs="Times New Roman"/>
                <w:sz w:val="16"/>
                <w:szCs w:val="16"/>
              </w:rPr>
              <w:t>is a market-capitalization weighted index comprises all HOSE-listed companies that pass</w:t>
            </w:r>
            <w:r>
              <w:rPr>
                <w:rFonts w:ascii="Times New Roman" w:hAnsi="Times New Roman" w:cs="Times New Roman"/>
                <w:sz w:val="16"/>
                <w:szCs w:val="16"/>
              </w:rPr>
              <w:t>ed</w:t>
            </w:r>
            <w:r w:rsidRPr="001704E5">
              <w:rPr>
                <w:rFonts w:ascii="Times New Roman" w:hAnsi="Times New Roman" w:cs="Times New Roman"/>
                <w:sz w:val="16"/>
                <w:szCs w:val="16"/>
              </w:rPr>
              <w:t xml:space="preserve"> </w:t>
            </w:r>
            <w:r w:rsidR="00597255">
              <w:rPr>
                <w:rFonts w:ascii="Times New Roman" w:hAnsi="Times New Roman" w:cs="Times New Roman"/>
                <w:sz w:val="16"/>
                <w:szCs w:val="16"/>
              </w:rPr>
              <w:t>screening for eligibility, free-</w:t>
            </w:r>
            <w:r w:rsidRPr="001704E5">
              <w:rPr>
                <w:rFonts w:ascii="Times New Roman" w:hAnsi="Times New Roman" w:cs="Times New Roman"/>
                <w:sz w:val="16"/>
                <w:szCs w:val="16"/>
              </w:rPr>
              <w:t>float and liquidity.</w:t>
            </w:r>
          </w:p>
          <w:p w:rsidR="0048469C" w:rsidRPr="001704E5" w:rsidRDefault="0048469C" w:rsidP="0048469C">
            <w:pPr>
              <w:jc w:val="both"/>
              <w:rPr>
                <w:rFonts w:ascii="Times New Roman" w:hAnsi="Times New Roman" w:cs="Times New Roman"/>
                <w:b/>
                <w:sz w:val="16"/>
                <w:szCs w:val="16"/>
              </w:rPr>
            </w:pPr>
            <w:r w:rsidRPr="001704E5">
              <w:rPr>
                <w:rFonts w:ascii="Times New Roman" w:hAnsi="Times New Roman" w:cs="Times New Roman"/>
                <w:b/>
                <w:sz w:val="16"/>
                <w:szCs w:val="16"/>
              </w:rPr>
              <w:t xml:space="preserve">VN30 </w:t>
            </w:r>
            <w:r w:rsidRPr="001704E5">
              <w:rPr>
                <w:rFonts w:ascii="Times New Roman" w:hAnsi="Times New Roman" w:cs="Times New Roman"/>
                <w:sz w:val="16"/>
                <w:szCs w:val="16"/>
              </w:rPr>
              <w:t xml:space="preserve">is a market-capitalization weighted index </w:t>
            </w:r>
            <w:r>
              <w:rPr>
                <w:rFonts w:ascii="Times New Roman" w:hAnsi="Times New Roman" w:cs="Times New Roman"/>
                <w:sz w:val="16"/>
                <w:szCs w:val="16"/>
              </w:rPr>
              <w:t xml:space="preserve">which measures </w:t>
            </w:r>
            <w:r w:rsidRPr="001704E5">
              <w:rPr>
                <w:rFonts w:ascii="Times New Roman" w:hAnsi="Times New Roman" w:cs="Times New Roman"/>
                <w:sz w:val="16"/>
                <w:szCs w:val="16"/>
              </w:rPr>
              <w:t xml:space="preserve">the performance of </w:t>
            </w:r>
            <w:r>
              <w:rPr>
                <w:rFonts w:ascii="Times New Roman" w:hAnsi="Times New Roman" w:cs="Times New Roman"/>
                <w:sz w:val="16"/>
                <w:szCs w:val="16"/>
              </w:rPr>
              <w:t xml:space="preserve">30 large </w:t>
            </w:r>
            <w:r w:rsidR="00CE3185" w:rsidRPr="001704E5">
              <w:rPr>
                <w:rFonts w:ascii="Times New Roman" w:hAnsi="Times New Roman" w:cs="Times New Roman"/>
                <w:sz w:val="16"/>
                <w:szCs w:val="16"/>
              </w:rPr>
              <w:t>market-capitalization</w:t>
            </w:r>
            <w:r w:rsidR="00CE3185">
              <w:rPr>
                <w:rFonts w:ascii="Times New Roman" w:hAnsi="Times New Roman" w:cs="Times New Roman"/>
                <w:sz w:val="16"/>
                <w:szCs w:val="16"/>
              </w:rPr>
              <w:t xml:space="preserve"> </w:t>
            </w:r>
            <w:r>
              <w:rPr>
                <w:rFonts w:ascii="Times New Roman" w:hAnsi="Times New Roman" w:cs="Times New Roman"/>
                <w:sz w:val="16"/>
                <w:szCs w:val="16"/>
              </w:rPr>
              <w:t>and high liquidity stocks</w:t>
            </w:r>
            <w:r w:rsidRPr="001704E5">
              <w:rPr>
                <w:rFonts w:ascii="Times New Roman" w:hAnsi="Times New Roman" w:cs="Times New Roman"/>
                <w:sz w:val="16"/>
                <w:szCs w:val="16"/>
              </w:rPr>
              <w:t xml:space="preserve"> from </w:t>
            </w:r>
            <w:proofErr w:type="spellStart"/>
            <w:r w:rsidRPr="001704E5">
              <w:rPr>
                <w:rFonts w:ascii="Times New Roman" w:hAnsi="Times New Roman" w:cs="Times New Roman"/>
                <w:sz w:val="16"/>
                <w:szCs w:val="16"/>
              </w:rPr>
              <w:t>VNAllshare</w:t>
            </w:r>
            <w:proofErr w:type="spellEnd"/>
            <w:r w:rsidRPr="001704E5">
              <w:rPr>
                <w:rFonts w:ascii="Times New Roman" w:hAnsi="Times New Roman" w:cs="Times New Roman"/>
                <w:sz w:val="16"/>
                <w:szCs w:val="16"/>
              </w:rPr>
              <w:t>.</w:t>
            </w:r>
          </w:p>
          <w:p w:rsidR="0048469C" w:rsidRPr="001704E5" w:rsidRDefault="0048469C" w:rsidP="0048469C">
            <w:pPr>
              <w:jc w:val="both"/>
              <w:rPr>
                <w:rFonts w:ascii="Times New Roman" w:hAnsi="Times New Roman" w:cs="Times New Roman"/>
                <w:sz w:val="16"/>
                <w:szCs w:val="16"/>
              </w:rPr>
            </w:pPr>
            <w:proofErr w:type="spellStart"/>
            <w:r w:rsidRPr="001704E5">
              <w:rPr>
                <w:rFonts w:ascii="Times New Roman" w:hAnsi="Times New Roman" w:cs="Times New Roman"/>
                <w:b/>
                <w:sz w:val="16"/>
                <w:szCs w:val="16"/>
              </w:rPr>
              <w:t>VNMidcap</w:t>
            </w:r>
            <w:proofErr w:type="spellEnd"/>
            <w:r w:rsidRPr="001704E5">
              <w:rPr>
                <w:rFonts w:ascii="Times New Roman" w:hAnsi="Times New Roman" w:cs="Times New Roman"/>
                <w:b/>
                <w:sz w:val="16"/>
                <w:szCs w:val="16"/>
              </w:rPr>
              <w:t xml:space="preserve"> </w:t>
            </w:r>
            <w:r w:rsidRPr="001704E5">
              <w:rPr>
                <w:rFonts w:ascii="Times New Roman" w:hAnsi="Times New Roman" w:cs="Times New Roman"/>
                <w:sz w:val="16"/>
                <w:szCs w:val="16"/>
              </w:rPr>
              <w:t>is a market-capitalization weighted index</w:t>
            </w:r>
            <w:r>
              <w:rPr>
                <w:rFonts w:ascii="Times New Roman" w:hAnsi="Times New Roman" w:cs="Times New Roman"/>
                <w:sz w:val="16"/>
                <w:szCs w:val="16"/>
              </w:rPr>
              <w:t xml:space="preserve"> which</w:t>
            </w:r>
            <w:r w:rsidRPr="001704E5">
              <w:rPr>
                <w:rFonts w:ascii="Times New Roman" w:hAnsi="Times New Roman" w:cs="Times New Roman"/>
                <w:sz w:val="16"/>
                <w:szCs w:val="16"/>
              </w:rPr>
              <w:t xml:space="preserve"> measure</w:t>
            </w:r>
            <w:r>
              <w:rPr>
                <w:rFonts w:ascii="Times New Roman" w:hAnsi="Times New Roman" w:cs="Times New Roman"/>
                <w:sz w:val="16"/>
                <w:szCs w:val="16"/>
              </w:rPr>
              <w:t>s</w:t>
            </w:r>
            <w:r w:rsidR="00CE3185">
              <w:rPr>
                <w:rFonts w:ascii="Times New Roman" w:hAnsi="Times New Roman" w:cs="Times New Roman"/>
                <w:sz w:val="16"/>
                <w:szCs w:val="16"/>
              </w:rPr>
              <w:t xml:space="preserve"> the performance of 70 medium </w:t>
            </w:r>
            <w:r w:rsidR="005D19FF" w:rsidRPr="001704E5">
              <w:rPr>
                <w:rFonts w:ascii="Times New Roman" w:hAnsi="Times New Roman" w:cs="Times New Roman"/>
                <w:sz w:val="16"/>
                <w:szCs w:val="16"/>
              </w:rPr>
              <w:t>market-capitalization</w:t>
            </w:r>
            <w:r>
              <w:rPr>
                <w:rFonts w:ascii="Times New Roman" w:hAnsi="Times New Roman" w:cs="Times New Roman"/>
                <w:sz w:val="16"/>
                <w:szCs w:val="16"/>
              </w:rPr>
              <w:t xml:space="preserve"> </w:t>
            </w:r>
            <w:r w:rsidRPr="001704E5">
              <w:rPr>
                <w:rFonts w:ascii="Times New Roman" w:hAnsi="Times New Roman" w:cs="Times New Roman"/>
                <w:sz w:val="16"/>
                <w:szCs w:val="16"/>
              </w:rPr>
              <w:t>companies</w:t>
            </w:r>
            <w:r w:rsidR="005D19FF">
              <w:rPr>
                <w:rFonts w:ascii="Times New Roman" w:hAnsi="Times New Roman" w:cs="Times New Roman"/>
                <w:sz w:val="16"/>
                <w:szCs w:val="16"/>
              </w:rPr>
              <w:t xml:space="preserve"> from </w:t>
            </w:r>
            <w:proofErr w:type="spellStart"/>
            <w:r w:rsidR="005D19FF" w:rsidRPr="001704E5">
              <w:rPr>
                <w:rFonts w:ascii="Times New Roman" w:hAnsi="Times New Roman" w:cs="Times New Roman"/>
                <w:sz w:val="16"/>
                <w:szCs w:val="16"/>
              </w:rPr>
              <w:t>VNAllshare</w:t>
            </w:r>
            <w:proofErr w:type="spellEnd"/>
            <w:r w:rsidRPr="001704E5">
              <w:rPr>
                <w:rFonts w:ascii="Times New Roman" w:hAnsi="Times New Roman" w:cs="Times New Roman"/>
                <w:sz w:val="16"/>
                <w:szCs w:val="16"/>
              </w:rPr>
              <w:t>.</w:t>
            </w:r>
          </w:p>
          <w:p w:rsidR="0048469C" w:rsidRPr="001704E5" w:rsidRDefault="0048469C" w:rsidP="0048469C">
            <w:pPr>
              <w:jc w:val="both"/>
              <w:rPr>
                <w:rFonts w:ascii="Times New Roman" w:hAnsi="Times New Roman" w:cs="Times New Roman"/>
                <w:b/>
                <w:sz w:val="16"/>
                <w:szCs w:val="16"/>
              </w:rPr>
            </w:pPr>
            <w:r w:rsidRPr="001704E5">
              <w:rPr>
                <w:rFonts w:ascii="Times New Roman" w:hAnsi="Times New Roman" w:cs="Times New Roman"/>
                <w:b/>
                <w:sz w:val="16"/>
                <w:szCs w:val="16"/>
              </w:rPr>
              <w:t xml:space="preserve">VN100 </w:t>
            </w:r>
            <w:r w:rsidRPr="001704E5">
              <w:rPr>
                <w:rFonts w:ascii="Times New Roman" w:hAnsi="Times New Roman" w:cs="Times New Roman"/>
                <w:sz w:val="16"/>
                <w:szCs w:val="16"/>
              </w:rPr>
              <w:t xml:space="preserve">is a market-capitalization weighted index combining constituents from both VN30 and </w:t>
            </w:r>
            <w:proofErr w:type="spellStart"/>
            <w:r w:rsidRPr="001704E5">
              <w:rPr>
                <w:rFonts w:ascii="Times New Roman" w:hAnsi="Times New Roman" w:cs="Times New Roman"/>
                <w:sz w:val="16"/>
                <w:szCs w:val="16"/>
              </w:rPr>
              <w:t>VNMidcap</w:t>
            </w:r>
            <w:proofErr w:type="spellEnd"/>
            <w:r w:rsidRPr="001704E5">
              <w:rPr>
                <w:rFonts w:ascii="Times New Roman" w:hAnsi="Times New Roman" w:cs="Times New Roman"/>
                <w:sz w:val="16"/>
                <w:szCs w:val="16"/>
              </w:rPr>
              <w:t>.</w:t>
            </w:r>
          </w:p>
          <w:p w:rsidR="0048469C" w:rsidRPr="001704E5" w:rsidRDefault="0048469C" w:rsidP="0048469C">
            <w:pPr>
              <w:jc w:val="both"/>
              <w:rPr>
                <w:rFonts w:ascii="Times New Roman" w:hAnsi="Times New Roman" w:cs="Times New Roman"/>
                <w:b/>
                <w:sz w:val="16"/>
                <w:szCs w:val="16"/>
              </w:rPr>
            </w:pPr>
            <w:proofErr w:type="spellStart"/>
            <w:r w:rsidRPr="001704E5">
              <w:rPr>
                <w:rFonts w:ascii="Times New Roman" w:hAnsi="Times New Roman" w:cs="Times New Roman"/>
                <w:b/>
                <w:sz w:val="16"/>
                <w:szCs w:val="16"/>
              </w:rPr>
              <w:t>VNSmallcap</w:t>
            </w:r>
            <w:proofErr w:type="spellEnd"/>
            <w:r w:rsidRPr="001704E5">
              <w:rPr>
                <w:rFonts w:ascii="Times New Roman" w:hAnsi="Times New Roman" w:cs="Times New Roman"/>
                <w:b/>
                <w:sz w:val="16"/>
                <w:szCs w:val="16"/>
              </w:rPr>
              <w:t xml:space="preserve"> </w:t>
            </w:r>
            <w:r w:rsidRPr="001704E5">
              <w:rPr>
                <w:rFonts w:ascii="Times New Roman" w:hAnsi="Times New Roman" w:cs="Times New Roman"/>
                <w:sz w:val="16"/>
                <w:szCs w:val="16"/>
              </w:rPr>
              <w:t>is a market-capitalization weighted index and designed to measure the performance of small</w:t>
            </w:r>
            <w:r>
              <w:rPr>
                <w:rFonts w:ascii="Times New Roman" w:hAnsi="Times New Roman" w:cs="Times New Roman"/>
                <w:sz w:val="16"/>
                <w:szCs w:val="16"/>
              </w:rPr>
              <w:t xml:space="preserve"> </w:t>
            </w:r>
            <w:r w:rsidR="005D19FF" w:rsidRPr="001704E5">
              <w:rPr>
                <w:rFonts w:ascii="Times New Roman" w:hAnsi="Times New Roman" w:cs="Times New Roman"/>
                <w:sz w:val="16"/>
                <w:szCs w:val="16"/>
              </w:rPr>
              <w:t>market-capitalization</w:t>
            </w:r>
            <w:r w:rsidRPr="001704E5">
              <w:rPr>
                <w:rFonts w:ascii="Times New Roman" w:hAnsi="Times New Roman" w:cs="Times New Roman"/>
                <w:sz w:val="16"/>
                <w:szCs w:val="16"/>
              </w:rPr>
              <w:t xml:space="preserve"> companies </w:t>
            </w:r>
            <w:r>
              <w:rPr>
                <w:rFonts w:ascii="Times New Roman" w:hAnsi="Times New Roman" w:cs="Times New Roman"/>
                <w:sz w:val="16"/>
                <w:szCs w:val="16"/>
              </w:rPr>
              <w:t xml:space="preserve">from </w:t>
            </w:r>
            <w:proofErr w:type="spellStart"/>
            <w:r w:rsidRPr="001704E5">
              <w:rPr>
                <w:rFonts w:ascii="Times New Roman" w:hAnsi="Times New Roman" w:cs="Times New Roman"/>
                <w:sz w:val="16"/>
                <w:szCs w:val="16"/>
              </w:rPr>
              <w:t>VNAllshare</w:t>
            </w:r>
            <w:proofErr w:type="spellEnd"/>
            <w:r w:rsidRPr="001704E5">
              <w:rPr>
                <w:rFonts w:ascii="Times New Roman" w:hAnsi="Times New Roman" w:cs="Times New Roman"/>
                <w:sz w:val="16"/>
                <w:szCs w:val="16"/>
              </w:rPr>
              <w:t>.</w:t>
            </w:r>
          </w:p>
          <w:p w:rsidR="000D6DAC" w:rsidRDefault="0048469C" w:rsidP="0048469C">
            <w:pPr>
              <w:rPr>
                <w:rFonts w:ascii="Times New Roman" w:hAnsi="Times New Roman" w:cs="Times New Roman"/>
                <w:noProof/>
              </w:rPr>
            </w:pPr>
            <w:proofErr w:type="spellStart"/>
            <w:r w:rsidRPr="001704E5">
              <w:rPr>
                <w:rFonts w:ascii="Times New Roman" w:hAnsi="Times New Roman" w:cs="Times New Roman"/>
                <w:b/>
                <w:sz w:val="16"/>
                <w:szCs w:val="16"/>
              </w:rPr>
              <w:t>VNAllshare</w:t>
            </w:r>
            <w:proofErr w:type="spellEnd"/>
            <w:r w:rsidRPr="001704E5">
              <w:rPr>
                <w:rFonts w:ascii="Times New Roman" w:hAnsi="Times New Roman" w:cs="Times New Roman"/>
                <w:b/>
                <w:sz w:val="16"/>
                <w:szCs w:val="16"/>
              </w:rPr>
              <w:t xml:space="preserve"> Sector Indices</w:t>
            </w:r>
            <w:r w:rsidRPr="001704E5">
              <w:rPr>
                <w:rFonts w:ascii="Times New Roman" w:hAnsi="Times New Roman" w:cs="Times New Roman"/>
                <w:sz w:val="16"/>
                <w:szCs w:val="16"/>
              </w:rPr>
              <w:t xml:space="preserve"> is a series of sector index comprised of constituents from </w:t>
            </w:r>
            <w:proofErr w:type="spellStart"/>
            <w:r w:rsidRPr="001704E5">
              <w:rPr>
                <w:rFonts w:ascii="Times New Roman" w:hAnsi="Times New Roman" w:cs="Times New Roman"/>
                <w:sz w:val="16"/>
                <w:szCs w:val="16"/>
              </w:rPr>
              <w:t>VNAllshare</w:t>
            </w:r>
            <w:proofErr w:type="spellEnd"/>
            <w:r w:rsidRPr="001704E5">
              <w:rPr>
                <w:rFonts w:ascii="Times New Roman" w:hAnsi="Times New Roman" w:cs="Times New Roman"/>
                <w:sz w:val="16"/>
                <w:szCs w:val="16"/>
              </w:rPr>
              <w:t xml:space="preserve"> </w:t>
            </w:r>
            <w:r>
              <w:rPr>
                <w:rFonts w:ascii="Times New Roman" w:hAnsi="Times New Roman" w:cs="Times New Roman"/>
                <w:sz w:val="16"/>
                <w:szCs w:val="16"/>
              </w:rPr>
              <w:t xml:space="preserve">classified </w:t>
            </w:r>
            <w:r w:rsidRPr="001704E5">
              <w:rPr>
                <w:rFonts w:ascii="Times New Roman" w:hAnsi="Times New Roman" w:cs="Times New Roman"/>
                <w:sz w:val="16"/>
                <w:szCs w:val="16"/>
              </w:rPr>
              <w:t>according to the Global Industry Classification Standard (GICS</w:t>
            </w:r>
            <w:r w:rsidRPr="001704E5">
              <w:rPr>
                <w:rFonts w:ascii="Times New Roman" w:hAnsi="Times New Roman"/>
                <w:sz w:val="16"/>
                <w:szCs w:val="16"/>
              </w:rPr>
              <w:t>®)</w:t>
            </w:r>
            <w:r w:rsidRPr="001704E5">
              <w:rPr>
                <w:rFonts w:ascii="Times New Roman" w:hAnsi="Times New Roman" w:cs="Times New Roman"/>
                <w:sz w:val="16"/>
                <w:szCs w:val="16"/>
              </w:rPr>
              <w:t>.</w:t>
            </w:r>
          </w:p>
          <w:p w:rsidR="000B7A44" w:rsidRPr="006D2F55" w:rsidRDefault="0074250D" w:rsidP="0048469C">
            <w:pPr>
              <w:rPr>
                <w:rFonts w:ascii="Times New Roman" w:hAnsi="Times New Roman" w:cs="Times New Roman"/>
              </w:rPr>
            </w:pPr>
            <w:r>
              <w:rPr>
                <w:noProof/>
              </w:rPr>
              <w:drawing>
                <wp:inline distT="0" distB="0" distL="0" distR="0" wp14:anchorId="13259D5F" wp14:editId="677EAA32">
                  <wp:extent cx="5103850" cy="1931102"/>
                  <wp:effectExtent l="0" t="0" r="1905" b="12065"/>
                  <wp:docPr id="10" name="Chart 10">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348" w:type="dxa"/>
          </w:tcPr>
          <w:p w:rsidR="0048469C" w:rsidRPr="000609AA" w:rsidRDefault="0048469C" w:rsidP="0048469C">
            <w:pPr>
              <w:jc w:val="both"/>
              <w:rPr>
                <w:rFonts w:ascii="Times New Roman" w:hAnsi="Times New Roman" w:cs="Times New Roman"/>
                <w:b/>
                <w:sz w:val="14"/>
                <w:szCs w:val="14"/>
              </w:rPr>
            </w:pPr>
            <w:r w:rsidRPr="000609AA">
              <w:rPr>
                <w:rFonts w:ascii="Times New Roman" w:hAnsi="Times New Roman" w:cs="Times New Roman"/>
                <w:b/>
                <w:sz w:val="14"/>
                <w:szCs w:val="14"/>
              </w:rPr>
              <w:t>Objective</w:t>
            </w:r>
          </w:p>
          <w:p w:rsidR="0048469C" w:rsidRPr="000609AA" w:rsidRDefault="0048469C" w:rsidP="0048469C">
            <w:pPr>
              <w:jc w:val="both"/>
              <w:rPr>
                <w:rFonts w:ascii="Times New Roman" w:hAnsi="Times New Roman" w:cs="Times New Roman"/>
                <w:sz w:val="14"/>
                <w:szCs w:val="14"/>
              </w:rPr>
            </w:pPr>
            <w:r w:rsidRPr="000609AA">
              <w:rPr>
                <w:rFonts w:ascii="Times New Roman" w:hAnsi="Times New Roman" w:cs="Times New Roman"/>
                <w:sz w:val="14"/>
                <w:szCs w:val="14"/>
              </w:rPr>
              <w:t>The in</w:t>
            </w:r>
            <w:r w:rsidR="00B53F62" w:rsidRPr="000609AA">
              <w:rPr>
                <w:rFonts w:ascii="Times New Roman" w:hAnsi="Times New Roman" w:cs="Times New Roman"/>
                <w:sz w:val="14"/>
                <w:szCs w:val="14"/>
              </w:rPr>
              <w:t>dices</w:t>
            </w:r>
            <w:r w:rsidRPr="000609AA">
              <w:rPr>
                <w:rFonts w:ascii="Times New Roman" w:hAnsi="Times New Roman" w:cs="Times New Roman"/>
                <w:sz w:val="14"/>
                <w:szCs w:val="14"/>
              </w:rPr>
              <w:t xml:space="preserve"> </w:t>
            </w:r>
            <w:r w:rsidR="00B53F62" w:rsidRPr="000609AA">
              <w:rPr>
                <w:rFonts w:ascii="Times New Roman" w:hAnsi="Times New Roman" w:cs="Times New Roman"/>
                <w:sz w:val="14"/>
                <w:szCs w:val="14"/>
              </w:rPr>
              <w:t>are</w:t>
            </w:r>
            <w:r w:rsidRPr="000609AA">
              <w:rPr>
                <w:rFonts w:ascii="Times New Roman" w:hAnsi="Times New Roman" w:cs="Times New Roman"/>
                <w:sz w:val="14"/>
                <w:szCs w:val="14"/>
              </w:rPr>
              <w:t xml:space="preserve"> designed for use i</w:t>
            </w:r>
            <w:r w:rsidR="00B53F62" w:rsidRPr="000609AA">
              <w:rPr>
                <w:rFonts w:ascii="Times New Roman" w:hAnsi="Times New Roman" w:cs="Times New Roman"/>
                <w:sz w:val="14"/>
                <w:szCs w:val="14"/>
              </w:rPr>
              <w:t>n the creation of index track</w:t>
            </w:r>
            <w:r w:rsidRPr="000609AA">
              <w:rPr>
                <w:rFonts w:ascii="Times New Roman" w:hAnsi="Times New Roman" w:cs="Times New Roman"/>
                <w:sz w:val="14"/>
                <w:szCs w:val="14"/>
              </w:rPr>
              <w:t xml:space="preserve"> funds, derivatives and as a performance benchmark.</w:t>
            </w:r>
          </w:p>
          <w:p w:rsidR="0048469C" w:rsidRPr="000609AA" w:rsidRDefault="0048469C" w:rsidP="0048469C">
            <w:pPr>
              <w:jc w:val="both"/>
              <w:rPr>
                <w:rFonts w:ascii="Times New Roman" w:hAnsi="Times New Roman" w:cs="Times New Roman"/>
                <w:b/>
                <w:sz w:val="14"/>
                <w:szCs w:val="14"/>
              </w:rPr>
            </w:pPr>
            <w:proofErr w:type="spellStart"/>
            <w:r w:rsidRPr="000609AA">
              <w:rPr>
                <w:rFonts w:ascii="Times New Roman" w:hAnsi="Times New Roman" w:cs="Times New Roman"/>
                <w:b/>
                <w:sz w:val="14"/>
                <w:szCs w:val="14"/>
              </w:rPr>
              <w:t>Investability</w:t>
            </w:r>
            <w:proofErr w:type="spellEnd"/>
          </w:p>
          <w:p w:rsidR="0048469C" w:rsidRPr="000609AA" w:rsidRDefault="0048469C" w:rsidP="0048469C">
            <w:pPr>
              <w:jc w:val="both"/>
              <w:rPr>
                <w:rFonts w:ascii="Times New Roman" w:hAnsi="Times New Roman" w:cs="Times New Roman"/>
                <w:sz w:val="14"/>
                <w:szCs w:val="14"/>
              </w:rPr>
            </w:pPr>
            <w:r w:rsidRPr="000609AA">
              <w:rPr>
                <w:rFonts w:ascii="Times New Roman" w:hAnsi="Times New Roman" w:cs="Times New Roman"/>
                <w:sz w:val="14"/>
                <w:szCs w:val="14"/>
              </w:rPr>
              <w:t xml:space="preserve">Stocks are selected and </w:t>
            </w:r>
            <w:r w:rsidR="00AD4AEE" w:rsidRPr="000609AA">
              <w:rPr>
                <w:rFonts w:ascii="Times New Roman" w:hAnsi="Times New Roman" w:cs="Times New Roman"/>
                <w:sz w:val="14"/>
                <w:szCs w:val="14"/>
              </w:rPr>
              <w:t xml:space="preserve">calculated by free-float </w:t>
            </w:r>
            <w:r w:rsidR="00B53F62" w:rsidRPr="000609AA">
              <w:rPr>
                <w:rFonts w:ascii="Times New Roman" w:hAnsi="Times New Roman" w:cs="Times New Roman"/>
                <w:sz w:val="14"/>
                <w:szCs w:val="14"/>
              </w:rPr>
              <w:t xml:space="preserve">to ensure </w:t>
            </w:r>
            <w:r w:rsidRPr="000609AA">
              <w:rPr>
                <w:rFonts w:ascii="Times New Roman" w:hAnsi="Times New Roman" w:cs="Times New Roman"/>
                <w:sz w:val="14"/>
                <w:szCs w:val="14"/>
              </w:rPr>
              <w:t>index is investable.</w:t>
            </w:r>
          </w:p>
          <w:p w:rsidR="0048469C" w:rsidRPr="000609AA" w:rsidRDefault="0048469C" w:rsidP="0048469C">
            <w:pPr>
              <w:jc w:val="both"/>
              <w:rPr>
                <w:rFonts w:ascii="Times New Roman" w:hAnsi="Times New Roman" w:cs="Times New Roman"/>
                <w:b/>
                <w:sz w:val="14"/>
                <w:szCs w:val="14"/>
              </w:rPr>
            </w:pPr>
            <w:r w:rsidRPr="000609AA">
              <w:rPr>
                <w:rFonts w:ascii="Times New Roman" w:hAnsi="Times New Roman" w:cs="Times New Roman"/>
                <w:b/>
                <w:sz w:val="14"/>
                <w:szCs w:val="14"/>
              </w:rPr>
              <w:t>Liquidity</w:t>
            </w:r>
          </w:p>
          <w:p w:rsidR="0048469C" w:rsidRPr="000609AA" w:rsidRDefault="0048469C" w:rsidP="0048469C">
            <w:pPr>
              <w:jc w:val="both"/>
              <w:rPr>
                <w:rFonts w:ascii="Times New Roman" w:hAnsi="Times New Roman" w:cs="Times New Roman"/>
                <w:sz w:val="14"/>
                <w:szCs w:val="14"/>
              </w:rPr>
            </w:pPr>
            <w:r w:rsidRPr="000609AA">
              <w:rPr>
                <w:rFonts w:ascii="Times New Roman" w:hAnsi="Times New Roman" w:cs="Times New Roman"/>
                <w:sz w:val="14"/>
                <w:szCs w:val="14"/>
              </w:rPr>
              <w:t>Stocks are screened to ensure index is tradable.</w:t>
            </w:r>
          </w:p>
          <w:p w:rsidR="0048469C" w:rsidRPr="000609AA" w:rsidRDefault="0048469C" w:rsidP="0048469C">
            <w:pPr>
              <w:jc w:val="both"/>
              <w:rPr>
                <w:rFonts w:ascii="Times New Roman" w:hAnsi="Times New Roman" w:cs="Times New Roman"/>
                <w:b/>
                <w:sz w:val="14"/>
                <w:szCs w:val="14"/>
              </w:rPr>
            </w:pPr>
            <w:r w:rsidRPr="000609AA">
              <w:rPr>
                <w:rFonts w:ascii="Times New Roman" w:hAnsi="Times New Roman" w:cs="Times New Roman"/>
                <w:b/>
                <w:sz w:val="14"/>
                <w:szCs w:val="14"/>
              </w:rPr>
              <w:t>Transparency</w:t>
            </w:r>
          </w:p>
          <w:p w:rsidR="0048469C" w:rsidRPr="000609AA" w:rsidRDefault="0048469C" w:rsidP="0048469C">
            <w:pPr>
              <w:jc w:val="both"/>
              <w:rPr>
                <w:rFonts w:ascii="Times New Roman" w:hAnsi="Times New Roman" w:cs="Times New Roman"/>
                <w:sz w:val="14"/>
                <w:szCs w:val="14"/>
              </w:rPr>
            </w:pPr>
            <w:r w:rsidRPr="000609AA">
              <w:rPr>
                <w:rFonts w:ascii="Times New Roman" w:hAnsi="Times New Roman" w:cs="Times New Roman"/>
                <w:sz w:val="14"/>
                <w:szCs w:val="14"/>
              </w:rPr>
              <w:t>The indices use a transparent, rules-based construction process. Index Rules are freely available on the HOSE website.</w:t>
            </w:r>
          </w:p>
          <w:p w:rsidR="0048469C" w:rsidRPr="000609AA" w:rsidRDefault="0048469C" w:rsidP="0048469C">
            <w:pPr>
              <w:jc w:val="both"/>
              <w:rPr>
                <w:rFonts w:ascii="Times New Roman" w:hAnsi="Times New Roman" w:cs="Times New Roman"/>
                <w:b/>
                <w:sz w:val="14"/>
                <w:szCs w:val="14"/>
              </w:rPr>
            </w:pPr>
            <w:r w:rsidRPr="000609AA">
              <w:rPr>
                <w:rFonts w:ascii="Times New Roman" w:hAnsi="Times New Roman" w:cs="Times New Roman"/>
                <w:b/>
                <w:sz w:val="14"/>
                <w:szCs w:val="14"/>
              </w:rPr>
              <w:t>Availability</w:t>
            </w:r>
          </w:p>
          <w:p w:rsidR="0048469C" w:rsidRPr="000609AA" w:rsidRDefault="00B53F62" w:rsidP="0048469C">
            <w:pPr>
              <w:jc w:val="both"/>
              <w:rPr>
                <w:rFonts w:ascii="Times New Roman" w:hAnsi="Times New Roman" w:cs="Times New Roman"/>
                <w:sz w:val="14"/>
                <w:szCs w:val="14"/>
              </w:rPr>
            </w:pPr>
            <w:r w:rsidRPr="000609AA">
              <w:rPr>
                <w:rFonts w:ascii="Times New Roman" w:hAnsi="Times New Roman" w:cs="Times New Roman"/>
                <w:sz w:val="14"/>
                <w:szCs w:val="14"/>
              </w:rPr>
              <w:t>The indices are</w:t>
            </w:r>
            <w:r w:rsidR="0048469C" w:rsidRPr="000609AA">
              <w:rPr>
                <w:rFonts w:ascii="Times New Roman" w:hAnsi="Times New Roman" w:cs="Times New Roman"/>
                <w:sz w:val="14"/>
                <w:szCs w:val="14"/>
              </w:rPr>
              <w:t xml:space="preserve"> calculated </w:t>
            </w:r>
            <w:r w:rsidRPr="000609AA">
              <w:rPr>
                <w:rFonts w:ascii="Times New Roman" w:hAnsi="Times New Roman" w:cs="Times New Roman"/>
                <w:sz w:val="14"/>
                <w:szCs w:val="14"/>
              </w:rPr>
              <w:t>in real-time or</w:t>
            </w:r>
            <w:r w:rsidR="0048469C" w:rsidRPr="000609AA">
              <w:rPr>
                <w:rFonts w:ascii="Times New Roman" w:hAnsi="Times New Roman" w:cs="Times New Roman"/>
                <w:sz w:val="14"/>
                <w:szCs w:val="14"/>
              </w:rPr>
              <w:t xml:space="preserve"> end of day.</w:t>
            </w:r>
          </w:p>
          <w:p w:rsidR="0048469C" w:rsidRPr="000609AA" w:rsidRDefault="0048469C" w:rsidP="0048469C">
            <w:pPr>
              <w:jc w:val="both"/>
              <w:rPr>
                <w:rFonts w:ascii="Times New Roman" w:hAnsi="Times New Roman" w:cs="Times New Roman"/>
                <w:b/>
                <w:sz w:val="14"/>
                <w:szCs w:val="14"/>
              </w:rPr>
            </w:pPr>
            <w:r w:rsidRPr="000609AA">
              <w:rPr>
                <w:rFonts w:ascii="Times New Roman" w:hAnsi="Times New Roman" w:cs="Times New Roman"/>
                <w:b/>
                <w:sz w:val="14"/>
                <w:szCs w:val="14"/>
              </w:rPr>
              <w:t>Review Dates</w:t>
            </w:r>
          </w:p>
          <w:p w:rsidR="0048469C" w:rsidRPr="000609AA" w:rsidRDefault="0048469C" w:rsidP="0048469C">
            <w:pPr>
              <w:jc w:val="both"/>
              <w:rPr>
                <w:rFonts w:ascii="Times New Roman" w:hAnsi="Times New Roman" w:cs="Times New Roman"/>
                <w:sz w:val="14"/>
                <w:szCs w:val="14"/>
              </w:rPr>
            </w:pPr>
            <w:r w:rsidRPr="000609AA">
              <w:rPr>
                <w:rFonts w:ascii="Times New Roman" w:hAnsi="Times New Roman" w:cs="Times New Roman"/>
                <w:sz w:val="14"/>
                <w:szCs w:val="14"/>
              </w:rPr>
              <w:t>Semi-annually in January and July.</w:t>
            </w:r>
          </w:p>
          <w:p w:rsidR="00AD4AEE" w:rsidRPr="000609AA" w:rsidRDefault="00264F25" w:rsidP="0048469C">
            <w:pPr>
              <w:jc w:val="both"/>
              <w:rPr>
                <w:rFonts w:ascii="Times New Roman" w:hAnsi="Times New Roman" w:cs="Times New Roman"/>
                <w:b/>
                <w:sz w:val="14"/>
                <w:szCs w:val="14"/>
              </w:rPr>
            </w:pPr>
            <w:r w:rsidRPr="000609AA">
              <w:rPr>
                <w:rFonts w:ascii="Times New Roman" w:hAnsi="Times New Roman" w:cs="Times New Roman"/>
                <w:b/>
                <w:sz w:val="14"/>
                <w:szCs w:val="14"/>
              </w:rPr>
              <w:t>Capping L</w:t>
            </w:r>
            <w:r w:rsidR="00AD4AEE" w:rsidRPr="000609AA">
              <w:rPr>
                <w:rFonts w:ascii="Times New Roman" w:hAnsi="Times New Roman" w:cs="Times New Roman"/>
                <w:b/>
                <w:sz w:val="14"/>
                <w:szCs w:val="14"/>
              </w:rPr>
              <w:t>imit</w:t>
            </w:r>
          </w:p>
          <w:p w:rsidR="00AD4AEE" w:rsidRPr="000609AA" w:rsidRDefault="00264F25" w:rsidP="0048469C">
            <w:pPr>
              <w:jc w:val="both"/>
              <w:rPr>
                <w:rFonts w:ascii="Times New Roman" w:hAnsi="Times New Roman" w:cs="Times New Roman"/>
                <w:sz w:val="14"/>
                <w:szCs w:val="14"/>
              </w:rPr>
            </w:pPr>
            <w:r w:rsidRPr="000609AA">
              <w:rPr>
                <w:rFonts w:ascii="Times New Roman" w:hAnsi="Times New Roman" w:cs="Times New Roman"/>
                <w:sz w:val="14"/>
                <w:szCs w:val="14"/>
              </w:rPr>
              <w:t>10</w:t>
            </w:r>
            <w:proofErr w:type="gramStart"/>
            <w:r w:rsidRPr="000609AA">
              <w:rPr>
                <w:rFonts w:ascii="Times New Roman" w:hAnsi="Times New Roman" w:cs="Times New Roman"/>
                <w:sz w:val="14"/>
                <w:szCs w:val="14"/>
              </w:rPr>
              <w:t>%</w:t>
            </w:r>
            <w:r w:rsidR="00AD4AEE" w:rsidRPr="000609AA">
              <w:rPr>
                <w:rFonts w:ascii="Times New Roman" w:hAnsi="Times New Roman" w:cs="Times New Roman"/>
                <w:sz w:val="14"/>
                <w:szCs w:val="14"/>
              </w:rPr>
              <w:t>(</w:t>
            </w:r>
            <w:proofErr w:type="gramEnd"/>
            <w:r w:rsidRPr="000609AA">
              <w:rPr>
                <w:rFonts w:ascii="Times New Roman" w:hAnsi="Times New Roman" w:cs="Times New Roman"/>
                <w:sz w:val="14"/>
                <w:szCs w:val="14"/>
              </w:rPr>
              <w:t xml:space="preserve">Not applied for </w:t>
            </w:r>
            <w:proofErr w:type="spellStart"/>
            <w:r w:rsidR="00AD4AEE" w:rsidRPr="000609AA">
              <w:rPr>
                <w:rFonts w:ascii="Times New Roman" w:hAnsi="Times New Roman" w:cs="Times New Roman"/>
                <w:sz w:val="14"/>
                <w:szCs w:val="14"/>
              </w:rPr>
              <w:t>VNAllshare</w:t>
            </w:r>
            <w:proofErr w:type="spellEnd"/>
            <w:r w:rsidR="00AD4AEE" w:rsidRPr="000609AA">
              <w:rPr>
                <w:rFonts w:ascii="Times New Roman" w:hAnsi="Times New Roman" w:cs="Times New Roman"/>
                <w:sz w:val="14"/>
                <w:szCs w:val="14"/>
              </w:rPr>
              <w:t xml:space="preserve"> Sector)</w:t>
            </w:r>
          </w:p>
          <w:p w:rsidR="00597255" w:rsidRPr="000609AA" w:rsidRDefault="0048469C" w:rsidP="0048469C">
            <w:pPr>
              <w:jc w:val="both"/>
              <w:rPr>
                <w:rFonts w:ascii="Times New Roman" w:hAnsi="Times New Roman" w:cs="Times New Roman"/>
                <w:b/>
                <w:sz w:val="14"/>
                <w:szCs w:val="14"/>
              </w:rPr>
            </w:pPr>
            <w:r w:rsidRPr="000609AA">
              <w:rPr>
                <w:rFonts w:ascii="Times New Roman" w:hAnsi="Times New Roman" w:cs="Times New Roman"/>
                <w:b/>
                <w:sz w:val="14"/>
                <w:szCs w:val="14"/>
              </w:rPr>
              <w:t xml:space="preserve">Index Methodology </w:t>
            </w:r>
          </w:p>
          <w:p w:rsidR="0048469C" w:rsidRPr="000609AA" w:rsidRDefault="0048469C" w:rsidP="0048469C">
            <w:pPr>
              <w:jc w:val="both"/>
              <w:rPr>
                <w:rFonts w:ascii="Times New Roman" w:hAnsi="Times New Roman" w:cs="Times New Roman"/>
                <w:sz w:val="14"/>
                <w:szCs w:val="14"/>
              </w:rPr>
            </w:pPr>
            <w:r w:rsidRPr="000609AA">
              <w:rPr>
                <w:rFonts w:ascii="Times New Roman" w:hAnsi="Times New Roman" w:cs="Times New Roman"/>
                <w:sz w:val="14"/>
                <w:szCs w:val="14"/>
              </w:rPr>
              <w:t>Free</w:t>
            </w:r>
            <w:r w:rsidR="00597255" w:rsidRPr="000609AA">
              <w:rPr>
                <w:rFonts w:ascii="Times New Roman" w:hAnsi="Times New Roman" w:cs="Times New Roman"/>
                <w:sz w:val="14"/>
                <w:szCs w:val="14"/>
              </w:rPr>
              <w:t>-</w:t>
            </w:r>
            <w:proofErr w:type="spellStart"/>
            <w:r w:rsidR="00AD4AEE" w:rsidRPr="000609AA">
              <w:rPr>
                <w:rFonts w:ascii="Times New Roman" w:hAnsi="Times New Roman" w:cs="Times New Roman"/>
                <w:sz w:val="14"/>
                <w:szCs w:val="14"/>
              </w:rPr>
              <w:t>float</w:t>
            </w:r>
            <w:r w:rsidR="00E24022" w:rsidRPr="000609AA">
              <w:rPr>
                <w:rFonts w:ascii="Times New Roman" w:hAnsi="Times New Roman" w:cs="Times New Roman"/>
                <w:sz w:val="14"/>
                <w:szCs w:val="14"/>
              </w:rPr>
              <w:t>adjusted</w:t>
            </w:r>
            <w:proofErr w:type="spellEnd"/>
            <w:r w:rsidR="00E24022" w:rsidRPr="000609AA">
              <w:rPr>
                <w:rFonts w:ascii="Times New Roman" w:hAnsi="Times New Roman" w:cs="Times New Roman"/>
                <w:sz w:val="14"/>
                <w:szCs w:val="14"/>
              </w:rPr>
              <w:t xml:space="preserve"> </w:t>
            </w:r>
            <w:r w:rsidR="00AD4AEE" w:rsidRPr="000609AA">
              <w:rPr>
                <w:rFonts w:ascii="Times New Roman" w:hAnsi="Times New Roman" w:cs="Times New Roman"/>
                <w:sz w:val="14"/>
                <w:szCs w:val="14"/>
              </w:rPr>
              <w:t>market-</w:t>
            </w:r>
            <w:r w:rsidRPr="000609AA">
              <w:rPr>
                <w:rFonts w:ascii="Times New Roman" w:hAnsi="Times New Roman" w:cs="Times New Roman"/>
                <w:sz w:val="14"/>
                <w:szCs w:val="14"/>
              </w:rPr>
              <w:t>capitalization weighted index.</w:t>
            </w:r>
          </w:p>
          <w:p w:rsidR="0048469C" w:rsidRPr="000609AA" w:rsidRDefault="0048469C" w:rsidP="0048469C">
            <w:pPr>
              <w:jc w:val="both"/>
              <w:rPr>
                <w:rFonts w:ascii="Times New Roman" w:hAnsi="Times New Roman" w:cs="Times New Roman"/>
                <w:b/>
                <w:sz w:val="14"/>
                <w:szCs w:val="14"/>
              </w:rPr>
            </w:pPr>
            <w:r w:rsidRPr="000609AA">
              <w:rPr>
                <w:rFonts w:ascii="Times New Roman" w:hAnsi="Times New Roman" w:cs="Times New Roman"/>
                <w:b/>
                <w:sz w:val="14"/>
                <w:szCs w:val="14"/>
              </w:rPr>
              <w:t>Industry Classification Benchmark</w:t>
            </w:r>
          </w:p>
          <w:p w:rsidR="00CF648E" w:rsidRPr="000609AA" w:rsidRDefault="0048469C" w:rsidP="0048469C">
            <w:pPr>
              <w:jc w:val="both"/>
              <w:rPr>
                <w:rFonts w:ascii="Times New Roman" w:hAnsi="Times New Roman" w:cs="Times New Roman"/>
                <w:sz w:val="14"/>
                <w:szCs w:val="14"/>
              </w:rPr>
            </w:pPr>
            <w:r w:rsidRPr="000609AA">
              <w:rPr>
                <w:rFonts w:ascii="Times New Roman" w:hAnsi="Times New Roman" w:cs="Times New Roman"/>
                <w:sz w:val="14"/>
                <w:szCs w:val="14"/>
              </w:rPr>
              <w:t>Index constituents are classified in accordance with the Global Industry Classification Standard (GICS®).</w:t>
            </w:r>
          </w:p>
        </w:tc>
      </w:tr>
      <w:tr w:rsidR="00CF648E" w:rsidRPr="006D2F55" w:rsidTr="009B4FB0">
        <w:tblPrEx>
          <w:tblCellMar>
            <w:left w:w="108" w:type="dxa"/>
            <w:right w:w="108" w:type="dxa"/>
          </w:tblCellMar>
        </w:tblPrEx>
        <w:trPr>
          <w:trHeight w:hRule="exact" w:val="298"/>
          <w:jc w:val="center"/>
        </w:trPr>
        <w:tc>
          <w:tcPr>
            <w:tcW w:w="6831" w:type="dxa"/>
            <w:gridSpan w:val="2"/>
            <w:shd w:val="clear" w:color="auto" w:fill="0070C0"/>
            <w:vAlign w:val="center"/>
          </w:tcPr>
          <w:p w:rsidR="00CF648E" w:rsidRPr="000F4C2D" w:rsidRDefault="0048469C" w:rsidP="000F4C2D">
            <w:pPr>
              <w:rPr>
                <w:rFonts w:ascii="Times New Roman" w:hAnsi="Times New Roman" w:cs="Times New Roman"/>
                <w:b/>
                <w:color w:val="FFFFFF" w:themeColor="background1"/>
                <w:sz w:val="14"/>
                <w:szCs w:val="14"/>
              </w:rPr>
            </w:pPr>
            <w:r w:rsidRPr="00C84839">
              <w:rPr>
                <w:rFonts w:ascii="Times New Roman" w:hAnsi="Times New Roman" w:cs="Times New Roman"/>
                <w:b/>
                <w:color w:val="FFFFFF" w:themeColor="background1"/>
              </w:rPr>
              <w:t>Indices Performance</w:t>
            </w:r>
          </w:p>
        </w:tc>
        <w:tc>
          <w:tcPr>
            <w:tcW w:w="4487" w:type="dxa"/>
            <w:gridSpan w:val="2"/>
            <w:vAlign w:val="center"/>
          </w:tcPr>
          <w:p w:rsidR="00CF648E" w:rsidRPr="000F4C2D" w:rsidRDefault="00CF648E" w:rsidP="00C84839">
            <w:pPr>
              <w:tabs>
                <w:tab w:val="center" w:pos="2700"/>
                <w:tab w:val="left" w:pos="4236"/>
              </w:tabs>
              <w:rPr>
                <w:rFonts w:ascii="Times New Roman" w:hAnsi="Times New Roman" w:cs="Times New Roman"/>
                <w:sz w:val="14"/>
                <w:szCs w:val="14"/>
              </w:rPr>
            </w:pPr>
          </w:p>
        </w:tc>
      </w:tr>
      <w:tr w:rsidR="00CF648E" w:rsidRPr="006D2F55" w:rsidTr="00615ADB">
        <w:tblPrEx>
          <w:tblCellMar>
            <w:left w:w="108" w:type="dxa"/>
            <w:right w:w="108" w:type="dxa"/>
          </w:tblCellMar>
        </w:tblPrEx>
        <w:trPr>
          <w:trHeight w:hRule="exact" w:val="2280"/>
          <w:jc w:val="center"/>
        </w:trPr>
        <w:tc>
          <w:tcPr>
            <w:tcW w:w="11318" w:type="dxa"/>
            <w:gridSpan w:val="4"/>
            <w:vAlign w:val="center"/>
          </w:tcPr>
          <w:tbl>
            <w:tblPr>
              <w:tblW w:w="10529" w:type="dxa"/>
              <w:jc w:val="center"/>
              <w:tblBorders>
                <w:top w:val="single" w:sz="8" w:space="0" w:color="0070C0"/>
                <w:bottom w:val="single" w:sz="8" w:space="0" w:color="0070C0"/>
                <w:insideH w:val="single" w:sz="8" w:space="0" w:color="0070C0"/>
              </w:tblBorders>
              <w:tblLook w:val="04A0" w:firstRow="1" w:lastRow="0" w:firstColumn="1" w:lastColumn="0" w:noHBand="0" w:noVBand="1"/>
            </w:tblPr>
            <w:tblGrid>
              <w:gridCol w:w="1134"/>
              <w:gridCol w:w="697"/>
              <w:gridCol w:w="697"/>
              <w:gridCol w:w="697"/>
              <w:gridCol w:w="836"/>
              <w:gridCol w:w="927"/>
              <w:gridCol w:w="927"/>
              <w:gridCol w:w="697"/>
              <w:gridCol w:w="767"/>
              <w:gridCol w:w="783"/>
              <w:gridCol w:w="1234"/>
              <w:gridCol w:w="1133"/>
            </w:tblGrid>
            <w:tr w:rsidR="005D19FF" w:rsidRPr="0048469C" w:rsidTr="005D19FF">
              <w:trPr>
                <w:trHeight w:val="268"/>
                <w:jc w:val="center"/>
              </w:trPr>
              <w:tc>
                <w:tcPr>
                  <w:tcW w:w="539" w:type="pct"/>
                  <w:tcBorders>
                    <w:right w:val="single" w:sz="8" w:space="0" w:color="0070C0"/>
                  </w:tcBorders>
                  <w:vAlign w:val="center"/>
                </w:tcPr>
                <w:p w:rsidR="005D19FF" w:rsidRPr="000F4C2D" w:rsidRDefault="005D19FF" w:rsidP="00615ADB">
                  <w:pPr>
                    <w:spacing w:after="0" w:line="240" w:lineRule="auto"/>
                    <w:jc w:val="center"/>
                    <w:rPr>
                      <w:rFonts w:ascii="Times New Roman" w:eastAsia="Times New Roman" w:hAnsi="Times New Roman" w:cs="Times New Roman"/>
                      <w:sz w:val="14"/>
                      <w:szCs w:val="14"/>
                    </w:rPr>
                  </w:pPr>
                </w:p>
              </w:tc>
              <w:tc>
                <w:tcPr>
                  <w:tcW w:w="3337" w:type="pct"/>
                  <w:gridSpan w:val="9"/>
                  <w:tcBorders>
                    <w:left w:val="single" w:sz="8" w:space="0" w:color="0070C0"/>
                    <w:right w:val="single" w:sz="8" w:space="0" w:color="0070C0"/>
                  </w:tcBorders>
                  <w:shd w:val="clear" w:color="auto" w:fill="auto"/>
                  <w:noWrap/>
                  <w:vAlign w:val="center"/>
                  <w:hideMark/>
                </w:tcPr>
                <w:p w:rsidR="005D19FF" w:rsidRPr="0048469C" w:rsidRDefault="005D19FF" w:rsidP="00615ADB">
                  <w:pPr>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Performance (%)</w:t>
                  </w:r>
                </w:p>
              </w:tc>
              <w:tc>
                <w:tcPr>
                  <w:tcW w:w="1124" w:type="pct"/>
                  <w:gridSpan w:val="2"/>
                  <w:tcBorders>
                    <w:left w:val="single" w:sz="8" w:space="0" w:color="0070C0"/>
                  </w:tcBorders>
                  <w:shd w:val="clear" w:color="auto" w:fill="auto"/>
                  <w:noWrap/>
                  <w:vAlign w:val="center"/>
                  <w:hideMark/>
                </w:tcPr>
                <w:p w:rsidR="005D19FF" w:rsidRPr="0048469C" w:rsidRDefault="005D19FF" w:rsidP="00615ADB">
                  <w:pPr>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Annualized Performance (%)</w:t>
                  </w:r>
                </w:p>
              </w:tc>
            </w:tr>
            <w:tr w:rsidR="007F1789" w:rsidRPr="0048469C" w:rsidTr="00C30FA9">
              <w:trPr>
                <w:trHeight w:val="255"/>
                <w:jc w:val="center"/>
              </w:trPr>
              <w:tc>
                <w:tcPr>
                  <w:tcW w:w="539" w:type="pct"/>
                  <w:tcBorders>
                    <w:right w:val="single" w:sz="8" w:space="0" w:color="0070C0"/>
                  </w:tcBorders>
                  <w:vAlign w:val="center"/>
                </w:tcPr>
                <w:p w:rsidR="007F1789" w:rsidRPr="000F4C2D" w:rsidRDefault="007F1789" w:rsidP="00615ADB">
                  <w:pPr>
                    <w:spacing w:after="0" w:line="240" w:lineRule="auto"/>
                    <w:jc w:val="center"/>
                    <w:rPr>
                      <w:rFonts w:ascii="Times New Roman" w:eastAsia="Times New Roman" w:hAnsi="Times New Roman" w:cs="Times New Roman"/>
                      <w:b/>
                      <w:bCs/>
                      <w:color w:val="000000"/>
                      <w:sz w:val="14"/>
                      <w:szCs w:val="14"/>
                    </w:rPr>
                  </w:pPr>
                </w:p>
              </w:tc>
              <w:tc>
                <w:tcPr>
                  <w:tcW w:w="331" w:type="pct"/>
                  <w:tcBorders>
                    <w:left w:val="single" w:sz="8" w:space="0" w:color="0070C0"/>
                  </w:tcBorders>
                  <w:shd w:val="clear" w:color="auto" w:fill="auto"/>
                  <w:noWrap/>
                  <w:vAlign w:val="center"/>
                  <w:hideMark/>
                </w:tcPr>
                <w:p w:rsidR="007F1789" w:rsidRPr="0048469C" w:rsidRDefault="007F1789" w:rsidP="00615ADB">
                  <w:pPr>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sidR="002B2404">
                    <w:rPr>
                      <w:rFonts w:ascii="Times New Roman" w:eastAsia="Times New Roman" w:hAnsi="Times New Roman" w:cs="Times New Roman"/>
                      <w:b/>
                      <w:bCs/>
                      <w:sz w:val="14"/>
                      <w:szCs w:val="14"/>
                    </w:rPr>
                    <w:t>6</w:t>
                  </w:r>
                </w:p>
              </w:tc>
              <w:tc>
                <w:tcPr>
                  <w:tcW w:w="331" w:type="pct"/>
                  <w:shd w:val="clear" w:color="auto" w:fill="auto"/>
                  <w:noWrap/>
                  <w:vAlign w:val="center"/>
                  <w:hideMark/>
                </w:tcPr>
                <w:p w:rsidR="007F1789" w:rsidRPr="0048469C" w:rsidRDefault="007F1789" w:rsidP="00615ADB">
                  <w:pPr>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sidR="002B2404">
                    <w:rPr>
                      <w:rFonts w:ascii="Times New Roman" w:eastAsia="Times New Roman" w:hAnsi="Times New Roman" w:cs="Times New Roman"/>
                      <w:b/>
                      <w:bCs/>
                      <w:sz w:val="14"/>
                      <w:szCs w:val="14"/>
                    </w:rPr>
                    <w:t>7</w:t>
                  </w:r>
                </w:p>
              </w:tc>
              <w:tc>
                <w:tcPr>
                  <w:tcW w:w="331" w:type="pct"/>
                  <w:tcBorders>
                    <w:right w:val="single" w:sz="8" w:space="0" w:color="0070C0"/>
                  </w:tcBorders>
                  <w:shd w:val="clear" w:color="auto" w:fill="auto"/>
                  <w:noWrap/>
                  <w:vAlign w:val="center"/>
                  <w:hideMark/>
                </w:tcPr>
                <w:p w:rsidR="007F1789" w:rsidRPr="0048469C" w:rsidRDefault="007F1789" w:rsidP="00615ADB">
                  <w:pPr>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w:t>
                  </w:r>
                  <w:r w:rsidR="007D374F">
                    <w:rPr>
                      <w:rFonts w:ascii="Times New Roman" w:eastAsia="Times New Roman" w:hAnsi="Times New Roman" w:cs="Times New Roman"/>
                      <w:b/>
                      <w:bCs/>
                      <w:sz w:val="14"/>
                      <w:szCs w:val="14"/>
                    </w:rPr>
                    <w:t>1</w:t>
                  </w:r>
                  <w:r w:rsidR="002B2404">
                    <w:rPr>
                      <w:rFonts w:ascii="Times New Roman" w:eastAsia="Times New Roman" w:hAnsi="Times New Roman" w:cs="Times New Roman"/>
                      <w:b/>
                      <w:bCs/>
                      <w:sz w:val="14"/>
                      <w:szCs w:val="14"/>
                    </w:rPr>
                    <w:t>8</w:t>
                  </w:r>
                </w:p>
              </w:tc>
              <w:tc>
                <w:tcPr>
                  <w:tcW w:w="397" w:type="pct"/>
                  <w:tcBorders>
                    <w:left w:val="single" w:sz="8" w:space="0" w:color="0070C0"/>
                  </w:tcBorders>
                  <w:shd w:val="clear" w:color="auto" w:fill="auto"/>
                  <w:noWrap/>
                  <w:vAlign w:val="center"/>
                  <w:hideMark/>
                </w:tcPr>
                <w:p w:rsidR="007F1789" w:rsidRPr="0048469C" w:rsidRDefault="007F1789" w:rsidP="00615ADB">
                  <w:pPr>
                    <w:spacing w:after="0" w:line="240" w:lineRule="auto"/>
                    <w:jc w:val="center"/>
                    <w:rPr>
                      <w:rFonts w:ascii="Times New Roman" w:eastAsia="Times New Roman" w:hAnsi="Times New Roman" w:cs="Times New Roman"/>
                      <w:b/>
                      <w:bCs/>
                      <w:color w:val="000000"/>
                      <w:sz w:val="14"/>
                      <w:szCs w:val="16"/>
                    </w:rPr>
                  </w:pPr>
                  <w:r>
                    <w:rPr>
                      <w:rFonts w:ascii="Times New Roman" w:eastAsia="Times New Roman" w:hAnsi="Times New Roman" w:cs="Times New Roman"/>
                      <w:b/>
                      <w:bCs/>
                      <w:color w:val="000000"/>
                      <w:sz w:val="14"/>
                      <w:szCs w:val="16"/>
                    </w:rPr>
                    <w:t>1</w:t>
                  </w:r>
                  <w:r w:rsidRPr="0048469C">
                    <w:rPr>
                      <w:rFonts w:ascii="Times New Roman" w:eastAsia="Times New Roman" w:hAnsi="Times New Roman" w:cs="Times New Roman"/>
                      <w:b/>
                      <w:bCs/>
                      <w:color w:val="000000"/>
                      <w:sz w:val="14"/>
                      <w:szCs w:val="16"/>
                    </w:rPr>
                    <w:t xml:space="preserve"> month</w:t>
                  </w:r>
                </w:p>
              </w:tc>
              <w:tc>
                <w:tcPr>
                  <w:tcW w:w="440" w:type="pct"/>
                  <w:shd w:val="clear" w:color="auto" w:fill="auto"/>
                  <w:noWrap/>
                  <w:vAlign w:val="center"/>
                  <w:hideMark/>
                </w:tcPr>
                <w:p w:rsidR="007F1789" w:rsidRPr="0048469C" w:rsidRDefault="007F1789" w:rsidP="00615ADB">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months</w:t>
                  </w:r>
                </w:p>
              </w:tc>
              <w:tc>
                <w:tcPr>
                  <w:tcW w:w="440" w:type="pct"/>
                  <w:shd w:val="clear" w:color="auto" w:fill="auto"/>
                  <w:noWrap/>
                  <w:vAlign w:val="center"/>
                  <w:hideMark/>
                </w:tcPr>
                <w:p w:rsidR="007F1789" w:rsidRPr="0048469C" w:rsidRDefault="007F1789" w:rsidP="00615ADB">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6 months</w:t>
                  </w:r>
                </w:p>
              </w:tc>
              <w:tc>
                <w:tcPr>
                  <w:tcW w:w="331" w:type="pct"/>
                  <w:shd w:val="clear" w:color="auto" w:fill="auto"/>
                  <w:noWrap/>
                  <w:vAlign w:val="center"/>
                  <w:hideMark/>
                </w:tcPr>
                <w:p w:rsidR="007F1789" w:rsidRPr="0048469C" w:rsidRDefault="007F1789" w:rsidP="00615ADB">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1 year</w:t>
                  </w:r>
                </w:p>
              </w:tc>
              <w:tc>
                <w:tcPr>
                  <w:tcW w:w="364" w:type="pct"/>
                  <w:shd w:val="clear" w:color="auto" w:fill="auto"/>
                  <w:noWrap/>
                  <w:vAlign w:val="center"/>
                  <w:hideMark/>
                </w:tcPr>
                <w:p w:rsidR="007F1789" w:rsidRPr="0048469C" w:rsidRDefault="007F1789" w:rsidP="00615ADB">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years</w:t>
                  </w:r>
                </w:p>
              </w:tc>
              <w:tc>
                <w:tcPr>
                  <w:tcW w:w="372" w:type="pct"/>
                  <w:tcBorders>
                    <w:right w:val="single" w:sz="8" w:space="0" w:color="0070C0"/>
                  </w:tcBorders>
                  <w:shd w:val="clear" w:color="auto" w:fill="auto"/>
                  <w:noWrap/>
                  <w:vAlign w:val="center"/>
                  <w:hideMark/>
                </w:tcPr>
                <w:p w:rsidR="007F1789" w:rsidRPr="0048469C" w:rsidRDefault="007F1789" w:rsidP="00615ADB">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5 years</w:t>
                  </w:r>
                </w:p>
              </w:tc>
              <w:tc>
                <w:tcPr>
                  <w:tcW w:w="586" w:type="pct"/>
                  <w:tcBorders>
                    <w:left w:val="single" w:sz="8" w:space="0" w:color="0070C0"/>
                  </w:tcBorders>
                  <w:shd w:val="clear" w:color="auto" w:fill="auto"/>
                  <w:noWrap/>
                  <w:vAlign w:val="center"/>
                  <w:hideMark/>
                </w:tcPr>
                <w:p w:rsidR="007F1789" w:rsidRPr="0048469C" w:rsidRDefault="007F1789" w:rsidP="00615ADB">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years</w:t>
                  </w:r>
                </w:p>
              </w:tc>
              <w:tc>
                <w:tcPr>
                  <w:tcW w:w="538" w:type="pct"/>
                  <w:shd w:val="clear" w:color="auto" w:fill="auto"/>
                  <w:noWrap/>
                  <w:vAlign w:val="center"/>
                  <w:hideMark/>
                </w:tcPr>
                <w:p w:rsidR="007F1789" w:rsidRPr="0048469C" w:rsidRDefault="007F1789" w:rsidP="00615ADB">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5 years</w:t>
                  </w:r>
                </w:p>
              </w:tc>
            </w:tr>
            <w:tr w:rsidR="001D5280" w:rsidRPr="000F4C2D" w:rsidTr="00D118D2">
              <w:trPr>
                <w:trHeight w:val="243"/>
                <w:jc w:val="center"/>
              </w:trPr>
              <w:tc>
                <w:tcPr>
                  <w:tcW w:w="539" w:type="pct"/>
                  <w:tcBorders>
                    <w:right w:val="single" w:sz="8" w:space="0" w:color="0070C0"/>
                  </w:tcBorders>
                  <w:vAlign w:val="center"/>
                </w:tcPr>
                <w:p w:rsidR="001D5280"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bookmarkStart w:id="0" w:name="_Hlk1120847"/>
                  <w:proofErr w:type="spellStart"/>
                  <w:r>
                    <w:rPr>
                      <w:rFonts w:ascii="Times New Roman" w:hAnsi="Times New Roman" w:cs="Times New Roman"/>
                      <w:b/>
                      <w:bCs/>
                      <w:color w:val="000000"/>
                      <w:sz w:val="14"/>
                      <w:szCs w:val="14"/>
                    </w:rPr>
                    <w:t>VNAllShare</w:t>
                  </w:r>
                  <w:proofErr w:type="spellEnd"/>
                </w:p>
              </w:tc>
              <w:tc>
                <w:tcPr>
                  <w:tcW w:w="331"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7.46%</w:t>
                  </w:r>
                </w:p>
              </w:tc>
              <w:tc>
                <w:tcPr>
                  <w:tcW w:w="331"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48.27%</w:t>
                  </w:r>
                </w:p>
              </w:tc>
              <w:tc>
                <w:tcPr>
                  <w:tcW w:w="331" w:type="pct"/>
                  <w:tcBorders>
                    <w:righ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-12.02%</w:t>
                  </w:r>
                </w:p>
              </w:tc>
              <w:tc>
                <w:tcPr>
                  <w:tcW w:w="397"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-1.80%</w:t>
                  </w:r>
                </w:p>
              </w:tc>
              <w:tc>
                <w:tcPr>
                  <w:tcW w:w="440"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-2.97%</w:t>
                  </w:r>
                </w:p>
              </w:tc>
              <w:tc>
                <w:tcPr>
                  <w:tcW w:w="440"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-0.10%</w:t>
                  </w:r>
                </w:p>
              </w:tc>
              <w:tc>
                <w:tcPr>
                  <w:tcW w:w="331"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-4.99%</w:t>
                  </w:r>
                </w:p>
              </w:tc>
              <w:tc>
                <w:tcPr>
                  <w:tcW w:w="364"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39.35%</w:t>
                  </w:r>
                </w:p>
              </w:tc>
              <w:tc>
                <w:tcPr>
                  <w:tcW w:w="372" w:type="pct"/>
                  <w:tcBorders>
                    <w:righ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54.08%</w:t>
                  </w:r>
                </w:p>
              </w:tc>
              <w:tc>
                <w:tcPr>
                  <w:tcW w:w="586"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11.70%</w:t>
                  </w:r>
                </w:p>
              </w:tc>
              <w:tc>
                <w:tcPr>
                  <w:tcW w:w="538"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9.03%</w:t>
                  </w:r>
                </w:p>
              </w:tc>
            </w:tr>
            <w:bookmarkEnd w:id="0"/>
            <w:tr w:rsidR="001D5280" w:rsidRPr="000F4C2D" w:rsidTr="00D118D2">
              <w:trPr>
                <w:trHeight w:val="243"/>
                <w:jc w:val="center"/>
              </w:trPr>
              <w:tc>
                <w:tcPr>
                  <w:tcW w:w="539" w:type="pct"/>
                  <w:tcBorders>
                    <w:right w:val="single" w:sz="8" w:space="0" w:color="0070C0"/>
                  </w:tcBorders>
                  <w:vAlign w:val="center"/>
                </w:tcPr>
                <w:p w:rsidR="001D5280"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VN30</w:t>
                  </w:r>
                </w:p>
              </w:tc>
              <w:tc>
                <w:tcPr>
                  <w:tcW w:w="331"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5.48%</w:t>
                  </w:r>
                </w:p>
              </w:tc>
              <w:tc>
                <w:tcPr>
                  <w:tcW w:w="331"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53.89%</w:t>
                  </w:r>
                </w:p>
              </w:tc>
              <w:tc>
                <w:tcPr>
                  <w:tcW w:w="331" w:type="pct"/>
                  <w:tcBorders>
                    <w:righ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-12.36%</w:t>
                  </w:r>
                </w:p>
              </w:tc>
              <w:tc>
                <w:tcPr>
                  <w:tcW w:w="397"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-1.60%</w:t>
                  </w:r>
                </w:p>
              </w:tc>
              <w:tc>
                <w:tcPr>
                  <w:tcW w:w="440"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-3.17%</w:t>
                  </w:r>
                </w:p>
              </w:tc>
              <w:tc>
                <w:tcPr>
                  <w:tcW w:w="440"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-2.07%</w:t>
                  </w:r>
                </w:p>
              </w:tc>
              <w:tc>
                <w:tcPr>
                  <w:tcW w:w="331"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-7.50%</w:t>
                  </w:r>
                </w:p>
              </w:tc>
              <w:tc>
                <w:tcPr>
                  <w:tcW w:w="364"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41.90%</w:t>
                  </w:r>
                </w:p>
              </w:tc>
              <w:tc>
                <w:tcPr>
                  <w:tcW w:w="372" w:type="pct"/>
                  <w:tcBorders>
                    <w:righ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41.79%</w:t>
                  </w:r>
                </w:p>
              </w:tc>
              <w:tc>
                <w:tcPr>
                  <w:tcW w:w="586"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12.37%</w:t>
                  </w:r>
                </w:p>
              </w:tc>
              <w:tc>
                <w:tcPr>
                  <w:tcW w:w="538"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7.23%</w:t>
                  </w:r>
                </w:p>
              </w:tc>
            </w:tr>
            <w:tr w:rsidR="001D5280" w:rsidRPr="000F4C2D" w:rsidTr="00D118D2">
              <w:trPr>
                <w:trHeight w:val="243"/>
                <w:jc w:val="center"/>
              </w:trPr>
              <w:tc>
                <w:tcPr>
                  <w:tcW w:w="539" w:type="pct"/>
                  <w:tcBorders>
                    <w:right w:val="single" w:sz="8" w:space="0" w:color="0070C0"/>
                  </w:tcBorders>
                  <w:vAlign w:val="center"/>
                </w:tcPr>
                <w:p w:rsidR="001D5280"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proofErr w:type="spellStart"/>
                  <w:r>
                    <w:rPr>
                      <w:rFonts w:ascii="Times New Roman" w:hAnsi="Times New Roman" w:cs="Times New Roman"/>
                      <w:b/>
                      <w:bCs/>
                      <w:color w:val="000000"/>
                      <w:sz w:val="14"/>
                      <w:szCs w:val="14"/>
                    </w:rPr>
                    <w:t>VNMidcap</w:t>
                  </w:r>
                  <w:proofErr w:type="spellEnd"/>
                </w:p>
              </w:tc>
              <w:tc>
                <w:tcPr>
                  <w:tcW w:w="331"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8.24%</w:t>
                  </w:r>
                </w:p>
              </w:tc>
              <w:tc>
                <w:tcPr>
                  <w:tcW w:w="331"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32.38%</w:t>
                  </w:r>
                </w:p>
              </w:tc>
              <w:tc>
                <w:tcPr>
                  <w:tcW w:w="331" w:type="pct"/>
                  <w:tcBorders>
                    <w:righ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-12.78%</w:t>
                  </w:r>
                </w:p>
              </w:tc>
              <w:tc>
                <w:tcPr>
                  <w:tcW w:w="397"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-1.21%</w:t>
                  </w:r>
                </w:p>
              </w:tc>
              <w:tc>
                <w:tcPr>
                  <w:tcW w:w="440"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-3.84%</w:t>
                  </w:r>
                </w:p>
              </w:tc>
              <w:tc>
                <w:tcPr>
                  <w:tcW w:w="440"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2.18%</w:t>
                  </w:r>
                </w:p>
              </w:tc>
              <w:tc>
                <w:tcPr>
                  <w:tcW w:w="331"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-2.50%</w:t>
                  </w:r>
                </w:p>
              </w:tc>
              <w:tc>
                <w:tcPr>
                  <w:tcW w:w="364"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22.54%</w:t>
                  </w:r>
                </w:p>
              </w:tc>
              <w:tc>
                <w:tcPr>
                  <w:tcW w:w="372" w:type="pct"/>
                  <w:tcBorders>
                    <w:righ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71.00%</w:t>
                  </w:r>
                </w:p>
              </w:tc>
              <w:tc>
                <w:tcPr>
                  <w:tcW w:w="586"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7.01%</w:t>
                  </w:r>
                </w:p>
              </w:tc>
              <w:tc>
                <w:tcPr>
                  <w:tcW w:w="538"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11.33%</w:t>
                  </w:r>
                </w:p>
              </w:tc>
            </w:tr>
            <w:tr w:rsidR="001D5280" w:rsidRPr="000F4C2D" w:rsidTr="00D118D2">
              <w:trPr>
                <w:trHeight w:val="243"/>
                <w:jc w:val="center"/>
              </w:trPr>
              <w:tc>
                <w:tcPr>
                  <w:tcW w:w="539" w:type="pct"/>
                  <w:tcBorders>
                    <w:right w:val="single" w:sz="8" w:space="0" w:color="0070C0"/>
                  </w:tcBorders>
                  <w:vAlign w:val="center"/>
                </w:tcPr>
                <w:p w:rsidR="001D5280"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VN100</w:t>
                  </w:r>
                </w:p>
              </w:tc>
              <w:tc>
                <w:tcPr>
                  <w:tcW w:w="331"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7.00%</w:t>
                  </w:r>
                </w:p>
              </w:tc>
              <w:tc>
                <w:tcPr>
                  <w:tcW w:w="331"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50.21%</w:t>
                  </w:r>
                </w:p>
              </w:tc>
              <w:tc>
                <w:tcPr>
                  <w:tcW w:w="331" w:type="pct"/>
                  <w:tcBorders>
                    <w:righ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-11.68%</w:t>
                  </w:r>
                </w:p>
              </w:tc>
              <w:tc>
                <w:tcPr>
                  <w:tcW w:w="397"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-1.86%</w:t>
                  </w:r>
                </w:p>
              </w:tc>
              <w:tc>
                <w:tcPr>
                  <w:tcW w:w="440"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-3.23%</w:t>
                  </w:r>
                </w:p>
              </w:tc>
              <w:tc>
                <w:tcPr>
                  <w:tcW w:w="440"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-0.28%</w:t>
                  </w:r>
                </w:p>
              </w:tc>
              <w:tc>
                <w:tcPr>
                  <w:tcW w:w="331"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-5.30%</w:t>
                  </w:r>
                </w:p>
              </w:tc>
              <w:tc>
                <w:tcPr>
                  <w:tcW w:w="364"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41.82%</w:t>
                  </w:r>
                </w:p>
              </w:tc>
              <w:tc>
                <w:tcPr>
                  <w:tcW w:w="372" w:type="pct"/>
                  <w:tcBorders>
                    <w:righ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54.55%</w:t>
                  </w:r>
                </w:p>
              </w:tc>
              <w:tc>
                <w:tcPr>
                  <w:tcW w:w="586"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12.35%</w:t>
                  </w:r>
                </w:p>
              </w:tc>
              <w:tc>
                <w:tcPr>
                  <w:tcW w:w="538"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9.10%</w:t>
                  </w:r>
                </w:p>
              </w:tc>
            </w:tr>
            <w:tr w:rsidR="001D5280" w:rsidRPr="000F4C2D" w:rsidTr="00D118D2">
              <w:trPr>
                <w:trHeight w:val="243"/>
                <w:jc w:val="center"/>
              </w:trPr>
              <w:tc>
                <w:tcPr>
                  <w:tcW w:w="539" w:type="pct"/>
                  <w:tcBorders>
                    <w:right w:val="single" w:sz="8" w:space="0" w:color="0070C0"/>
                  </w:tcBorders>
                  <w:vAlign w:val="center"/>
                </w:tcPr>
                <w:p w:rsidR="001D5280"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proofErr w:type="spellStart"/>
                  <w:r>
                    <w:rPr>
                      <w:rFonts w:ascii="Times New Roman" w:hAnsi="Times New Roman" w:cs="Times New Roman"/>
                      <w:b/>
                      <w:bCs/>
                      <w:color w:val="000000"/>
                      <w:sz w:val="14"/>
                      <w:szCs w:val="14"/>
                    </w:rPr>
                    <w:t>VNSmallcap</w:t>
                  </w:r>
                  <w:proofErr w:type="spellEnd"/>
                </w:p>
              </w:tc>
              <w:tc>
                <w:tcPr>
                  <w:tcW w:w="331"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8.94%</w:t>
                  </w:r>
                </w:p>
              </w:tc>
              <w:tc>
                <w:tcPr>
                  <w:tcW w:w="331"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22.54%</w:t>
                  </w:r>
                </w:p>
              </w:tc>
              <w:tc>
                <w:tcPr>
                  <w:tcW w:w="331" w:type="pct"/>
                  <w:tcBorders>
                    <w:righ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-15.81%</w:t>
                  </w:r>
                </w:p>
              </w:tc>
              <w:tc>
                <w:tcPr>
                  <w:tcW w:w="397"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-1.41%</w:t>
                  </w:r>
                </w:p>
              </w:tc>
              <w:tc>
                <w:tcPr>
                  <w:tcW w:w="440"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2.92%</w:t>
                  </w:r>
                </w:p>
              </w:tc>
              <w:tc>
                <w:tcPr>
                  <w:tcW w:w="440"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1.33%</w:t>
                  </w:r>
                </w:p>
              </w:tc>
              <w:tc>
                <w:tcPr>
                  <w:tcW w:w="331"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-2.01%</w:t>
                  </w:r>
                </w:p>
              </w:tc>
              <w:tc>
                <w:tcPr>
                  <w:tcW w:w="364"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6.89%</w:t>
                  </w:r>
                </w:p>
              </w:tc>
              <w:tc>
                <w:tcPr>
                  <w:tcW w:w="372" w:type="pct"/>
                  <w:tcBorders>
                    <w:righ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41.05%</w:t>
                  </w:r>
                </w:p>
              </w:tc>
              <w:tc>
                <w:tcPr>
                  <w:tcW w:w="586"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2.25%</w:t>
                  </w:r>
                </w:p>
              </w:tc>
              <w:tc>
                <w:tcPr>
                  <w:tcW w:w="538"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7.12%</w:t>
                  </w:r>
                </w:p>
              </w:tc>
            </w:tr>
            <w:tr w:rsidR="001D5280" w:rsidRPr="000F4C2D" w:rsidTr="00D118D2">
              <w:trPr>
                <w:trHeight w:val="243"/>
                <w:jc w:val="center"/>
              </w:trPr>
              <w:tc>
                <w:tcPr>
                  <w:tcW w:w="539" w:type="pct"/>
                  <w:tcBorders>
                    <w:right w:val="single" w:sz="8" w:space="0" w:color="0070C0"/>
                  </w:tcBorders>
                  <w:vAlign w:val="center"/>
                </w:tcPr>
                <w:p w:rsidR="001D5280"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VN Index</w:t>
                  </w:r>
                </w:p>
              </w:tc>
              <w:tc>
                <w:tcPr>
                  <w:tcW w:w="331"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14.82%</w:t>
                  </w:r>
                </w:p>
              </w:tc>
              <w:tc>
                <w:tcPr>
                  <w:tcW w:w="331"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46.46%</w:t>
                  </w:r>
                </w:p>
              </w:tc>
              <w:tc>
                <w:tcPr>
                  <w:tcW w:w="331" w:type="pct"/>
                  <w:tcBorders>
                    <w:righ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-9.32%</w:t>
                  </w:r>
                </w:p>
              </w:tc>
              <w:tc>
                <w:tcPr>
                  <w:tcW w:w="397"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-2.02%</w:t>
                  </w:r>
                </w:p>
              </w:tc>
              <w:tc>
                <w:tcPr>
                  <w:tcW w:w="440"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-0.58%</w:t>
                  </w:r>
                </w:p>
              </w:tc>
              <w:tc>
                <w:tcPr>
                  <w:tcW w:w="440"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3.60%</w:t>
                  </w:r>
                </w:p>
              </w:tc>
              <w:tc>
                <w:tcPr>
                  <w:tcW w:w="331"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-1.17%</w:t>
                  </w:r>
                </w:p>
              </w:tc>
              <w:tc>
                <w:tcPr>
                  <w:tcW w:w="364"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55.21%</w:t>
                  </w:r>
                </w:p>
              </w:tc>
              <w:tc>
                <w:tcPr>
                  <w:tcW w:w="372" w:type="pct"/>
                  <w:tcBorders>
                    <w:righ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70.79%</w:t>
                  </w:r>
                </w:p>
              </w:tc>
              <w:tc>
                <w:tcPr>
                  <w:tcW w:w="586" w:type="pct"/>
                  <w:tcBorders>
                    <w:left w:val="single" w:sz="8"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15.78%</w:t>
                  </w:r>
                </w:p>
              </w:tc>
              <w:tc>
                <w:tcPr>
                  <w:tcW w:w="538"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11.30%</w:t>
                  </w:r>
                </w:p>
              </w:tc>
            </w:tr>
            <w:tr w:rsidR="00E30240" w:rsidRPr="000F4C2D" w:rsidTr="00D118D2">
              <w:trPr>
                <w:trHeight w:val="243"/>
                <w:jc w:val="center"/>
              </w:trPr>
              <w:tc>
                <w:tcPr>
                  <w:tcW w:w="539" w:type="pct"/>
                  <w:tcBorders>
                    <w:right w:val="single" w:sz="8" w:space="0" w:color="0070C0"/>
                  </w:tcBorders>
                  <w:vAlign w:val="center"/>
                </w:tcPr>
                <w:p w:rsidR="00E30240" w:rsidRDefault="00E30240" w:rsidP="00D118D2">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331" w:type="pct"/>
                  <w:tcBorders>
                    <w:left w:val="single" w:sz="8" w:space="0" w:color="0070C0"/>
                  </w:tcBorders>
                  <w:shd w:val="clear" w:color="auto" w:fill="auto"/>
                  <w:noWrap/>
                  <w:vAlign w:val="center"/>
                </w:tcPr>
                <w:p w:rsidR="00E30240" w:rsidRDefault="00E30240" w:rsidP="00D118D2">
                  <w:pPr>
                    <w:autoSpaceDE w:val="0"/>
                    <w:autoSpaceDN w:val="0"/>
                    <w:adjustRightInd w:val="0"/>
                    <w:spacing w:after="0" w:line="240" w:lineRule="auto"/>
                    <w:jc w:val="center"/>
                    <w:rPr>
                      <w:rFonts w:ascii="Times New Roman" w:hAnsi="Times New Roman" w:cs="Times New Roman"/>
                      <w:color w:val="000000"/>
                      <w:sz w:val="14"/>
                      <w:szCs w:val="14"/>
                    </w:rPr>
                  </w:pPr>
                </w:p>
              </w:tc>
              <w:tc>
                <w:tcPr>
                  <w:tcW w:w="331" w:type="pct"/>
                  <w:shd w:val="clear" w:color="auto" w:fill="auto"/>
                  <w:noWrap/>
                  <w:vAlign w:val="center"/>
                </w:tcPr>
                <w:p w:rsidR="00E30240" w:rsidRDefault="00E30240" w:rsidP="00D118D2">
                  <w:pPr>
                    <w:autoSpaceDE w:val="0"/>
                    <w:autoSpaceDN w:val="0"/>
                    <w:adjustRightInd w:val="0"/>
                    <w:spacing w:after="0" w:line="240" w:lineRule="auto"/>
                    <w:jc w:val="center"/>
                    <w:rPr>
                      <w:rFonts w:ascii="Times New Roman" w:hAnsi="Times New Roman" w:cs="Times New Roman"/>
                      <w:color w:val="000000"/>
                      <w:sz w:val="14"/>
                      <w:szCs w:val="14"/>
                    </w:rPr>
                  </w:pPr>
                </w:p>
              </w:tc>
              <w:tc>
                <w:tcPr>
                  <w:tcW w:w="331" w:type="pct"/>
                  <w:tcBorders>
                    <w:right w:val="single" w:sz="8" w:space="0" w:color="0070C0"/>
                  </w:tcBorders>
                  <w:shd w:val="clear" w:color="auto" w:fill="auto"/>
                  <w:noWrap/>
                  <w:vAlign w:val="center"/>
                </w:tcPr>
                <w:p w:rsidR="00E30240" w:rsidRDefault="00E30240" w:rsidP="00D118D2">
                  <w:pPr>
                    <w:autoSpaceDE w:val="0"/>
                    <w:autoSpaceDN w:val="0"/>
                    <w:adjustRightInd w:val="0"/>
                    <w:spacing w:after="0" w:line="240" w:lineRule="auto"/>
                    <w:jc w:val="center"/>
                    <w:rPr>
                      <w:rFonts w:ascii="Times New Roman" w:hAnsi="Times New Roman" w:cs="Times New Roman"/>
                      <w:color w:val="000000"/>
                      <w:sz w:val="14"/>
                      <w:szCs w:val="14"/>
                    </w:rPr>
                  </w:pPr>
                </w:p>
              </w:tc>
              <w:tc>
                <w:tcPr>
                  <w:tcW w:w="397" w:type="pct"/>
                  <w:tcBorders>
                    <w:left w:val="single" w:sz="8" w:space="0" w:color="0070C0"/>
                  </w:tcBorders>
                  <w:shd w:val="clear" w:color="auto" w:fill="auto"/>
                  <w:noWrap/>
                  <w:vAlign w:val="center"/>
                </w:tcPr>
                <w:p w:rsidR="00E30240" w:rsidRDefault="00E30240" w:rsidP="00D118D2">
                  <w:pPr>
                    <w:autoSpaceDE w:val="0"/>
                    <w:autoSpaceDN w:val="0"/>
                    <w:adjustRightInd w:val="0"/>
                    <w:spacing w:after="0" w:line="240" w:lineRule="auto"/>
                    <w:jc w:val="center"/>
                    <w:rPr>
                      <w:rFonts w:ascii="Times New Roman" w:hAnsi="Times New Roman" w:cs="Times New Roman"/>
                      <w:color w:val="000000"/>
                      <w:sz w:val="14"/>
                      <w:szCs w:val="14"/>
                    </w:rPr>
                  </w:pPr>
                </w:p>
              </w:tc>
              <w:tc>
                <w:tcPr>
                  <w:tcW w:w="440" w:type="pct"/>
                  <w:shd w:val="clear" w:color="auto" w:fill="auto"/>
                  <w:noWrap/>
                  <w:vAlign w:val="center"/>
                </w:tcPr>
                <w:p w:rsidR="00E30240" w:rsidRDefault="00E30240" w:rsidP="00D118D2">
                  <w:pPr>
                    <w:autoSpaceDE w:val="0"/>
                    <w:autoSpaceDN w:val="0"/>
                    <w:adjustRightInd w:val="0"/>
                    <w:spacing w:after="0" w:line="240" w:lineRule="auto"/>
                    <w:jc w:val="center"/>
                    <w:rPr>
                      <w:rFonts w:ascii="Times New Roman" w:hAnsi="Times New Roman" w:cs="Times New Roman"/>
                      <w:color w:val="000000"/>
                      <w:sz w:val="14"/>
                      <w:szCs w:val="14"/>
                    </w:rPr>
                  </w:pPr>
                </w:p>
              </w:tc>
              <w:tc>
                <w:tcPr>
                  <w:tcW w:w="440" w:type="pct"/>
                  <w:shd w:val="clear" w:color="auto" w:fill="auto"/>
                  <w:noWrap/>
                  <w:vAlign w:val="center"/>
                </w:tcPr>
                <w:p w:rsidR="00E30240" w:rsidRDefault="00E30240" w:rsidP="00D118D2">
                  <w:pPr>
                    <w:autoSpaceDE w:val="0"/>
                    <w:autoSpaceDN w:val="0"/>
                    <w:adjustRightInd w:val="0"/>
                    <w:spacing w:after="0" w:line="240" w:lineRule="auto"/>
                    <w:jc w:val="center"/>
                    <w:rPr>
                      <w:rFonts w:ascii="Times New Roman" w:hAnsi="Times New Roman" w:cs="Times New Roman"/>
                      <w:color w:val="000000"/>
                      <w:sz w:val="14"/>
                      <w:szCs w:val="14"/>
                    </w:rPr>
                  </w:pPr>
                </w:p>
              </w:tc>
              <w:tc>
                <w:tcPr>
                  <w:tcW w:w="331" w:type="pct"/>
                  <w:shd w:val="clear" w:color="auto" w:fill="auto"/>
                  <w:noWrap/>
                  <w:vAlign w:val="center"/>
                </w:tcPr>
                <w:p w:rsidR="00E30240" w:rsidRPr="006F5259" w:rsidRDefault="00E30240" w:rsidP="00D118D2">
                  <w:pPr>
                    <w:autoSpaceDE w:val="0"/>
                    <w:autoSpaceDN w:val="0"/>
                    <w:adjustRightInd w:val="0"/>
                    <w:spacing w:after="0" w:line="240" w:lineRule="auto"/>
                    <w:jc w:val="center"/>
                    <w:rPr>
                      <w:rFonts w:ascii="Times New Roman" w:hAnsi="Times New Roman" w:cs="Times New Roman"/>
                      <w:color w:val="000000"/>
                      <w:sz w:val="14"/>
                      <w:szCs w:val="14"/>
                    </w:rPr>
                  </w:pPr>
                </w:p>
              </w:tc>
              <w:tc>
                <w:tcPr>
                  <w:tcW w:w="364" w:type="pct"/>
                  <w:shd w:val="clear" w:color="auto" w:fill="auto"/>
                  <w:noWrap/>
                  <w:vAlign w:val="center"/>
                </w:tcPr>
                <w:p w:rsidR="00E30240" w:rsidRPr="006F5259" w:rsidRDefault="00E30240" w:rsidP="00D118D2">
                  <w:pPr>
                    <w:autoSpaceDE w:val="0"/>
                    <w:autoSpaceDN w:val="0"/>
                    <w:adjustRightInd w:val="0"/>
                    <w:spacing w:after="0" w:line="240" w:lineRule="auto"/>
                    <w:jc w:val="center"/>
                    <w:rPr>
                      <w:rFonts w:ascii="Times New Roman" w:hAnsi="Times New Roman" w:cs="Times New Roman"/>
                      <w:color w:val="000000"/>
                      <w:sz w:val="14"/>
                      <w:szCs w:val="14"/>
                    </w:rPr>
                  </w:pPr>
                </w:p>
              </w:tc>
              <w:tc>
                <w:tcPr>
                  <w:tcW w:w="372" w:type="pct"/>
                  <w:tcBorders>
                    <w:right w:val="single" w:sz="8" w:space="0" w:color="0070C0"/>
                  </w:tcBorders>
                  <w:shd w:val="clear" w:color="auto" w:fill="auto"/>
                  <w:noWrap/>
                  <w:vAlign w:val="center"/>
                </w:tcPr>
                <w:p w:rsidR="00E30240" w:rsidRPr="006F5259" w:rsidRDefault="00E30240" w:rsidP="00D118D2">
                  <w:pPr>
                    <w:autoSpaceDE w:val="0"/>
                    <w:autoSpaceDN w:val="0"/>
                    <w:adjustRightInd w:val="0"/>
                    <w:spacing w:after="0" w:line="240" w:lineRule="auto"/>
                    <w:jc w:val="center"/>
                    <w:rPr>
                      <w:rFonts w:ascii="Times New Roman" w:hAnsi="Times New Roman" w:cs="Times New Roman"/>
                      <w:color w:val="000000"/>
                      <w:sz w:val="14"/>
                      <w:szCs w:val="14"/>
                    </w:rPr>
                  </w:pPr>
                </w:p>
              </w:tc>
              <w:tc>
                <w:tcPr>
                  <w:tcW w:w="586" w:type="pct"/>
                  <w:tcBorders>
                    <w:left w:val="single" w:sz="8" w:space="0" w:color="0070C0"/>
                  </w:tcBorders>
                  <w:shd w:val="clear" w:color="auto" w:fill="auto"/>
                  <w:noWrap/>
                  <w:vAlign w:val="center"/>
                </w:tcPr>
                <w:p w:rsidR="00E30240" w:rsidRPr="006F5259" w:rsidRDefault="00E30240" w:rsidP="00D118D2">
                  <w:pPr>
                    <w:autoSpaceDE w:val="0"/>
                    <w:autoSpaceDN w:val="0"/>
                    <w:adjustRightInd w:val="0"/>
                    <w:spacing w:after="0" w:line="240" w:lineRule="auto"/>
                    <w:jc w:val="center"/>
                    <w:rPr>
                      <w:rFonts w:ascii="Times New Roman" w:hAnsi="Times New Roman" w:cs="Times New Roman"/>
                      <w:color w:val="000000"/>
                      <w:sz w:val="14"/>
                      <w:szCs w:val="14"/>
                    </w:rPr>
                  </w:pPr>
                </w:p>
              </w:tc>
              <w:tc>
                <w:tcPr>
                  <w:tcW w:w="538" w:type="pct"/>
                  <w:shd w:val="clear" w:color="auto" w:fill="auto"/>
                  <w:noWrap/>
                  <w:vAlign w:val="center"/>
                </w:tcPr>
                <w:p w:rsidR="00E30240" w:rsidRPr="006F5259" w:rsidRDefault="00E30240" w:rsidP="00D118D2">
                  <w:pPr>
                    <w:autoSpaceDE w:val="0"/>
                    <w:autoSpaceDN w:val="0"/>
                    <w:adjustRightInd w:val="0"/>
                    <w:spacing w:after="0" w:line="240" w:lineRule="auto"/>
                    <w:jc w:val="center"/>
                    <w:rPr>
                      <w:rFonts w:ascii="Times New Roman" w:hAnsi="Times New Roman" w:cs="Times New Roman"/>
                      <w:color w:val="000000"/>
                      <w:sz w:val="14"/>
                      <w:szCs w:val="14"/>
                    </w:rPr>
                  </w:pPr>
                </w:p>
              </w:tc>
            </w:tr>
          </w:tbl>
          <w:p w:rsidR="00CF648E" w:rsidRPr="000F4C2D" w:rsidRDefault="00CF648E" w:rsidP="00615ADB">
            <w:pPr>
              <w:jc w:val="center"/>
              <w:rPr>
                <w:rFonts w:ascii="Times New Roman" w:eastAsia="Times New Roman" w:hAnsi="Times New Roman" w:cs="Times New Roman"/>
                <w:color w:val="000000"/>
                <w:sz w:val="14"/>
                <w:szCs w:val="14"/>
              </w:rPr>
            </w:pPr>
          </w:p>
        </w:tc>
      </w:tr>
      <w:tr w:rsidR="00CF648E" w:rsidRPr="006D2F55" w:rsidTr="009B4FB0">
        <w:tblPrEx>
          <w:tblCellMar>
            <w:left w:w="108" w:type="dxa"/>
            <w:right w:w="108" w:type="dxa"/>
          </w:tblCellMar>
        </w:tblPrEx>
        <w:trPr>
          <w:trHeight w:val="298"/>
          <w:jc w:val="center"/>
        </w:trPr>
        <w:tc>
          <w:tcPr>
            <w:tcW w:w="6352" w:type="dxa"/>
            <w:shd w:val="clear" w:color="auto" w:fill="0070C0"/>
            <w:vAlign w:val="center"/>
          </w:tcPr>
          <w:p w:rsidR="00CF648E" w:rsidRPr="000F4C2D" w:rsidRDefault="0048469C" w:rsidP="0010674A">
            <w:pPr>
              <w:rPr>
                <w:rFonts w:ascii="Times New Roman" w:hAnsi="Times New Roman" w:cs="Times New Roman"/>
                <w:sz w:val="14"/>
                <w:szCs w:val="14"/>
              </w:rPr>
            </w:pPr>
            <w:r w:rsidRPr="006D2F55">
              <w:rPr>
                <w:rFonts w:ascii="Times New Roman" w:hAnsi="Times New Roman" w:cs="Times New Roman"/>
                <w:b/>
                <w:color w:val="FFFFFF" w:themeColor="background1"/>
              </w:rPr>
              <w:t>Indices Volatility</w:t>
            </w:r>
          </w:p>
        </w:tc>
        <w:tc>
          <w:tcPr>
            <w:tcW w:w="4966" w:type="dxa"/>
            <w:gridSpan w:val="3"/>
            <w:shd w:val="clear" w:color="auto" w:fill="0070C0"/>
            <w:vAlign w:val="center"/>
          </w:tcPr>
          <w:p w:rsidR="00CF648E" w:rsidRPr="000F4C2D" w:rsidRDefault="0048469C" w:rsidP="008458BE">
            <w:pPr>
              <w:rPr>
                <w:rFonts w:ascii="Times New Roman" w:hAnsi="Times New Roman" w:cs="Times New Roman"/>
                <w:sz w:val="14"/>
                <w:szCs w:val="14"/>
              </w:rPr>
            </w:pPr>
            <w:r w:rsidRPr="006D2F55">
              <w:rPr>
                <w:rFonts w:ascii="Times New Roman" w:hAnsi="Times New Roman" w:cs="Times New Roman"/>
                <w:b/>
                <w:color w:val="FFFFFF" w:themeColor="background1"/>
              </w:rPr>
              <w:t>Correlation of Indices</w:t>
            </w:r>
            <w:r>
              <w:rPr>
                <w:rFonts w:ascii="Times New Roman" w:hAnsi="Times New Roman" w:cs="Times New Roman"/>
                <w:b/>
                <w:color w:val="FFFFFF" w:themeColor="background1"/>
              </w:rPr>
              <w:t xml:space="preserve"> with VN</w:t>
            </w:r>
            <w:r w:rsidR="008458BE">
              <w:rPr>
                <w:rFonts w:ascii="Times New Roman" w:hAnsi="Times New Roman" w:cs="Times New Roman"/>
                <w:b/>
                <w:color w:val="FFFFFF" w:themeColor="background1"/>
              </w:rPr>
              <w:t xml:space="preserve"> </w:t>
            </w:r>
            <w:r>
              <w:rPr>
                <w:rFonts w:ascii="Times New Roman" w:hAnsi="Times New Roman" w:cs="Times New Roman"/>
                <w:b/>
                <w:color w:val="FFFFFF" w:themeColor="background1"/>
              </w:rPr>
              <w:t>Index</w:t>
            </w:r>
          </w:p>
        </w:tc>
      </w:tr>
      <w:tr w:rsidR="00CF648E" w:rsidRPr="006D2F55" w:rsidTr="00320C3C">
        <w:tblPrEx>
          <w:tblCellMar>
            <w:left w:w="108" w:type="dxa"/>
            <w:right w:w="108" w:type="dxa"/>
          </w:tblCellMar>
        </w:tblPrEx>
        <w:trPr>
          <w:trHeight w:val="371"/>
          <w:jc w:val="center"/>
        </w:trPr>
        <w:tc>
          <w:tcPr>
            <w:tcW w:w="6352" w:type="dxa"/>
            <w:shd w:val="clear" w:color="auto" w:fill="FFFFFF" w:themeFill="background1"/>
            <w:vAlign w:val="center"/>
          </w:tcPr>
          <w:tbl>
            <w:tblPr>
              <w:tblW w:w="6045" w:type="dxa"/>
              <w:tblBorders>
                <w:top w:val="single" w:sz="4" w:space="0" w:color="0070C0"/>
                <w:bottom w:val="single" w:sz="4" w:space="0" w:color="0070C0"/>
                <w:insideH w:val="single" w:sz="4" w:space="0" w:color="0070C0"/>
              </w:tblBorders>
              <w:tblLook w:val="04A0" w:firstRow="1" w:lastRow="0" w:firstColumn="1" w:lastColumn="0" w:noHBand="0" w:noVBand="1"/>
            </w:tblPr>
            <w:tblGrid>
              <w:gridCol w:w="1392"/>
              <w:gridCol w:w="875"/>
              <w:gridCol w:w="971"/>
              <w:gridCol w:w="696"/>
              <w:gridCol w:w="922"/>
              <w:gridCol w:w="1189"/>
            </w:tblGrid>
            <w:tr w:rsidR="0048469C" w:rsidRPr="000F4C2D" w:rsidTr="00615ADB">
              <w:trPr>
                <w:trHeight w:val="245"/>
              </w:trPr>
              <w:tc>
                <w:tcPr>
                  <w:tcW w:w="1392" w:type="dxa"/>
                  <w:tcBorders>
                    <w:right w:val="single" w:sz="4" w:space="0" w:color="0070C0"/>
                  </w:tcBorders>
                  <w:shd w:val="clear" w:color="auto" w:fill="auto"/>
                  <w:noWrap/>
                  <w:vAlign w:val="center"/>
                  <w:hideMark/>
                </w:tcPr>
                <w:p w:rsidR="0048469C" w:rsidRPr="000F4C2D" w:rsidRDefault="0048469C" w:rsidP="00320C3C">
                  <w:pPr>
                    <w:spacing w:after="0" w:line="240" w:lineRule="auto"/>
                    <w:jc w:val="center"/>
                    <w:rPr>
                      <w:rFonts w:ascii="Times New Roman" w:eastAsia="Times New Roman" w:hAnsi="Times New Roman" w:cs="Times New Roman"/>
                      <w:sz w:val="14"/>
                      <w:szCs w:val="14"/>
                    </w:rPr>
                  </w:pPr>
                </w:p>
              </w:tc>
              <w:tc>
                <w:tcPr>
                  <w:tcW w:w="875" w:type="dxa"/>
                  <w:tcBorders>
                    <w:left w:val="single" w:sz="4" w:space="0" w:color="0070C0"/>
                  </w:tcBorders>
                  <w:shd w:val="clear" w:color="auto" w:fill="auto"/>
                  <w:noWrap/>
                  <w:vAlign w:val="center"/>
                  <w:hideMark/>
                </w:tcPr>
                <w:p w:rsidR="0048469C" w:rsidRPr="0048469C" w:rsidRDefault="0048469C" w:rsidP="00320C3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months</w:t>
                  </w:r>
                </w:p>
              </w:tc>
              <w:tc>
                <w:tcPr>
                  <w:tcW w:w="971" w:type="dxa"/>
                  <w:shd w:val="clear" w:color="auto" w:fill="auto"/>
                  <w:noWrap/>
                  <w:vAlign w:val="center"/>
                  <w:hideMark/>
                </w:tcPr>
                <w:p w:rsidR="0048469C" w:rsidRPr="0048469C" w:rsidRDefault="0048469C" w:rsidP="00320C3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6 months</w:t>
                  </w:r>
                </w:p>
              </w:tc>
              <w:tc>
                <w:tcPr>
                  <w:tcW w:w="696" w:type="dxa"/>
                  <w:shd w:val="clear" w:color="auto" w:fill="auto"/>
                  <w:noWrap/>
                  <w:vAlign w:val="center"/>
                  <w:hideMark/>
                </w:tcPr>
                <w:p w:rsidR="0048469C" w:rsidRPr="0048469C" w:rsidRDefault="0048469C" w:rsidP="00320C3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1 year</w:t>
                  </w:r>
                </w:p>
              </w:tc>
              <w:tc>
                <w:tcPr>
                  <w:tcW w:w="922" w:type="dxa"/>
                  <w:shd w:val="clear" w:color="auto" w:fill="auto"/>
                  <w:noWrap/>
                  <w:vAlign w:val="center"/>
                  <w:hideMark/>
                </w:tcPr>
                <w:p w:rsidR="0048469C" w:rsidRPr="0048469C" w:rsidRDefault="0048469C" w:rsidP="00320C3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years</w:t>
                  </w:r>
                </w:p>
              </w:tc>
              <w:tc>
                <w:tcPr>
                  <w:tcW w:w="1189" w:type="dxa"/>
                  <w:shd w:val="clear" w:color="auto" w:fill="auto"/>
                  <w:noWrap/>
                  <w:vAlign w:val="center"/>
                  <w:hideMark/>
                </w:tcPr>
                <w:p w:rsidR="0048469C" w:rsidRPr="0048469C" w:rsidRDefault="0048469C" w:rsidP="00320C3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5 years</w:t>
                  </w:r>
                </w:p>
              </w:tc>
            </w:tr>
            <w:tr w:rsidR="001D5280" w:rsidRPr="000F4C2D" w:rsidTr="00E30240">
              <w:trPr>
                <w:trHeight w:val="245"/>
              </w:trPr>
              <w:tc>
                <w:tcPr>
                  <w:tcW w:w="1392" w:type="dxa"/>
                  <w:tcBorders>
                    <w:right w:val="single" w:sz="4" w:space="0" w:color="0070C0"/>
                  </w:tcBorders>
                  <w:shd w:val="clear" w:color="auto" w:fill="auto"/>
                  <w:noWrap/>
                  <w:vAlign w:val="center"/>
                  <w:hideMark/>
                </w:tcPr>
                <w:p w:rsidR="001D5280"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proofErr w:type="spellStart"/>
                  <w:r>
                    <w:rPr>
                      <w:rFonts w:ascii="Times New Roman" w:hAnsi="Times New Roman" w:cs="Times New Roman"/>
                      <w:b/>
                      <w:bCs/>
                      <w:color w:val="000000"/>
                      <w:sz w:val="14"/>
                      <w:szCs w:val="14"/>
                    </w:rPr>
                    <w:t>VNAllShare</w:t>
                  </w:r>
                  <w:proofErr w:type="spellEnd"/>
                </w:p>
              </w:tc>
              <w:tc>
                <w:tcPr>
                  <w:tcW w:w="875" w:type="dxa"/>
                  <w:tcBorders>
                    <w:left w:val="single" w:sz="4"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6.27%</w:t>
                  </w:r>
                </w:p>
              </w:tc>
              <w:tc>
                <w:tcPr>
                  <w:tcW w:w="971"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8.94%</w:t>
                  </w:r>
                </w:p>
              </w:tc>
              <w:tc>
                <w:tcPr>
                  <w:tcW w:w="696"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16.37%</w:t>
                  </w:r>
                </w:p>
              </w:tc>
              <w:tc>
                <w:tcPr>
                  <w:tcW w:w="922"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26.16%</w:t>
                  </w:r>
                </w:p>
              </w:tc>
              <w:tc>
                <w:tcPr>
                  <w:tcW w:w="1189"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32.71%</w:t>
                  </w:r>
                </w:p>
              </w:tc>
            </w:tr>
            <w:tr w:rsidR="001D5280" w:rsidRPr="000F4C2D" w:rsidTr="00E30240">
              <w:trPr>
                <w:trHeight w:val="245"/>
              </w:trPr>
              <w:tc>
                <w:tcPr>
                  <w:tcW w:w="1392" w:type="dxa"/>
                  <w:tcBorders>
                    <w:right w:val="single" w:sz="4" w:space="0" w:color="0070C0"/>
                  </w:tcBorders>
                  <w:shd w:val="clear" w:color="auto" w:fill="auto"/>
                  <w:noWrap/>
                  <w:vAlign w:val="center"/>
                  <w:hideMark/>
                </w:tcPr>
                <w:p w:rsidR="001D5280"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VN30</w:t>
                  </w:r>
                </w:p>
              </w:tc>
              <w:tc>
                <w:tcPr>
                  <w:tcW w:w="875" w:type="dxa"/>
                  <w:tcBorders>
                    <w:left w:val="single" w:sz="4"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6.31%</w:t>
                  </w:r>
                </w:p>
              </w:tc>
              <w:tc>
                <w:tcPr>
                  <w:tcW w:w="971"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9.36%</w:t>
                  </w:r>
                </w:p>
              </w:tc>
              <w:tc>
                <w:tcPr>
                  <w:tcW w:w="696"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17.50%</w:t>
                  </w:r>
                </w:p>
              </w:tc>
              <w:tc>
                <w:tcPr>
                  <w:tcW w:w="922"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28.74%</w:t>
                  </w:r>
                </w:p>
              </w:tc>
              <w:tc>
                <w:tcPr>
                  <w:tcW w:w="1189"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35.92%</w:t>
                  </w:r>
                </w:p>
              </w:tc>
            </w:tr>
            <w:tr w:rsidR="001D5280" w:rsidRPr="000F4C2D" w:rsidTr="00E30240">
              <w:trPr>
                <w:trHeight w:val="245"/>
              </w:trPr>
              <w:tc>
                <w:tcPr>
                  <w:tcW w:w="1392" w:type="dxa"/>
                  <w:tcBorders>
                    <w:right w:val="single" w:sz="4" w:space="0" w:color="0070C0"/>
                  </w:tcBorders>
                  <w:shd w:val="clear" w:color="auto" w:fill="auto"/>
                  <w:noWrap/>
                  <w:vAlign w:val="center"/>
                  <w:hideMark/>
                </w:tcPr>
                <w:p w:rsidR="001D5280"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proofErr w:type="spellStart"/>
                  <w:r>
                    <w:rPr>
                      <w:rFonts w:ascii="Times New Roman" w:hAnsi="Times New Roman" w:cs="Times New Roman"/>
                      <w:b/>
                      <w:bCs/>
                      <w:color w:val="000000"/>
                      <w:sz w:val="14"/>
                      <w:szCs w:val="14"/>
                    </w:rPr>
                    <w:t>VNMidcap</w:t>
                  </w:r>
                  <w:proofErr w:type="spellEnd"/>
                </w:p>
              </w:tc>
              <w:tc>
                <w:tcPr>
                  <w:tcW w:w="875" w:type="dxa"/>
                  <w:tcBorders>
                    <w:left w:val="single" w:sz="4"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5.94%</w:t>
                  </w:r>
                </w:p>
              </w:tc>
              <w:tc>
                <w:tcPr>
                  <w:tcW w:w="971"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8.74%</w:t>
                  </w:r>
                </w:p>
              </w:tc>
              <w:tc>
                <w:tcPr>
                  <w:tcW w:w="696"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16.74%</w:t>
                  </w:r>
                </w:p>
              </w:tc>
              <w:tc>
                <w:tcPr>
                  <w:tcW w:w="922"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25.97%</w:t>
                  </w:r>
                </w:p>
              </w:tc>
              <w:tc>
                <w:tcPr>
                  <w:tcW w:w="1189"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32.29%</w:t>
                  </w:r>
                </w:p>
              </w:tc>
            </w:tr>
            <w:tr w:rsidR="001D5280" w:rsidRPr="000F4C2D" w:rsidTr="00E30240">
              <w:trPr>
                <w:trHeight w:val="245"/>
              </w:trPr>
              <w:tc>
                <w:tcPr>
                  <w:tcW w:w="1392" w:type="dxa"/>
                  <w:tcBorders>
                    <w:right w:val="single" w:sz="4" w:space="0" w:color="0070C0"/>
                  </w:tcBorders>
                  <w:shd w:val="clear" w:color="auto" w:fill="auto"/>
                  <w:noWrap/>
                  <w:vAlign w:val="center"/>
                  <w:hideMark/>
                </w:tcPr>
                <w:p w:rsidR="001D5280"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VN100</w:t>
                  </w:r>
                </w:p>
              </w:tc>
              <w:tc>
                <w:tcPr>
                  <w:tcW w:w="875" w:type="dxa"/>
                  <w:tcBorders>
                    <w:left w:val="single" w:sz="4"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6.41%</w:t>
                  </w:r>
                </w:p>
              </w:tc>
              <w:tc>
                <w:tcPr>
                  <w:tcW w:w="971"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9.16%</w:t>
                  </w:r>
                </w:p>
              </w:tc>
              <w:tc>
                <w:tcPr>
                  <w:tcW w:w="696"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16.86%</w:t>
                  </w:r>
                </w:p>
              </w:tc>
              <w:tc>
                <w:tcPr>
                  <w:tcW w:w="922"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26.96%</w:t>
                  </w:r>
                </w:p>
              </w:tc>
              <w:tc>
                <w:tcPr>
                  <w:tcW w:w="1189"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33.61%</w:t>
                  </w:r>
                </w:p>
              </w:tc>
            </w:tr>
            <w:tr w:rsidR="001D5280" w:rsidRPr="000F4C2D" w:rsidTr="00E30240">
              <w:trPr>
                <w:trHeight w:val="245"/>
              </w:trPr>
              <w:tc>
                <w:tcPr>
                  <w:tcW w:w="1392" w:type="dxa"/>
                  <w:tcBorders>
                    <w:right w:val="single" w:sz="4" w:space="0" w:color="0070C0"/>
                  </w:tcBorders>
                  <w:shd w:val="clear" w:color="auto" w:fill="auto"/>
                  <w:noWrap/>
                  <w:vAlign w:val="center"/>
                  <w:hideMark/>
                </w:tcPr>
                <w:p w:rsidR="001D5280"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proofErr w:type="spellStart"/>
                  <w:r>
                    <w:rPr>
                      <w:rFonts w:ascii="Times New Roman" w:hAnsi="Times New Roman" w:cs="Times New Roman"/>
                      <w:b/>
                      <w:bCs/>
                      <w:color w:val="000000"/>
                      <w:sz w:val="14"/>
                      <w:szCs w:val="14"/>
                    </w:rPr>
                    <w:t>VNSmallcap</w:t>
                  </w:r>
                  <w:proofErr w:type="spellEnd"/>
                </w:p>
              </w:tc>
              <w:tc>
                <w:tcPr>
                  <w:tcW w:w="875" w:type="dxa"/>
                  <w:tcBorders>
                    <w:left w:val="single" w:sz="4"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4.54%</w:t>
                  </w:r>
                </w:p>
              </w:tc>
              <w:tc>
                <w:tcPr>
                  <w:tcW w:w="971"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6.08%</w:t>
                  </w:r>
                </w:p>
              </w:tc>
              <w:tc>
                <w:tcPr>
                  <w:tcW w:w="696"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10.38%</w:t>
                  </w:r>
                </w:p>
              </w:tc>
              <w:tc>
                <w:tcPr>
                  <w:tcW w:w="922"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19.33%</w:t>
                  </w:r>
                </w:p>
              </w:tc>
              <w:tc>
                <w:tcPr>
                  <w:tcW w:w="1189"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27.45%</w:t>
                  </w:r>
                </w:p>
              </w:tc>
            </w:tr>
            <w:tr w:rsidR="001D5280" w:rsidRPr="000F4C2D" w:rsidTr="00E30240">
              <w:trPr>
                <w:trHeight w:val="245"/>
              </w:trPr>
              <w:tc>
                <w:tcPr>
                  <w:tcW w:w="1392" w:type="dxa"/>
                  <w:tcBorders>
                    <w:right w:val="single" w:sz="4" w:space="0" w:color="0070C0"/>
                  </w:tcBorders>
                  <w:shd w:val="clear" w:color="auto" w:fill="auto"/>
                  <w:noWrap/>
                  <w:vAlign w:val="center"/>
                  <w:hideMark/>
                </w:tcPr>
                <w:p w:rsidR="001D5280"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VN Index</w:t>
                  </w:r>
                </w:p>
              </w:tc>
              <w:tc>
                <w:tcPr>
                  <w:tcW w:w="875" w:type="dxa"/>
                  <w:tcBorders>
                    <w:left w:val="single" w:sz="4"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6.48%</w:t>
                  </w:r>
                </w:p>
              </w:tc>
              <w:tc>
                <w:tcPr>
                  <w:tcW w:w="971"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9.01%</w:t>
                  </w:r>
                </w:p>
              </w:tc>
              <w:tc>
                <w:tcPr>
                  <w:tcW w:w="696"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16.51%</w:t>
                  </w:r>
                </w:p>
              </w:tc>
              <w:tc>
                <w:tcPr>
                  <w:tcW w:w="922"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27.56%</w:t>
                  </w:r>
                </w:p>
              </w:tc>
              <w:tc>
                <w:tcPr>
                  <w:tcW w:w="1189"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35.77%</w:t>
                  </w:r>
                </w:p>
              </w:tc>
            </w:tr>
          </w:tbl>
          <w:p w:rsidR="00CF648E" w:rsidRPr="000F4C2D" w:rsidRDefault="00CF648E" w:rsidP="00320C3C">
            <w:pPr>
              <w:spacing w:before="60"/>
              <w:jc w:val="center"/>
              <w:rPr>
                <w:rFonts w:ascii="Times New Roman" w:hAnsi="Times New Roman" w:cs="Times New Roman"/>
                <w:b/>
                <w:color w:val="FFFFFF" w:themeColor="background1"/>
                <w:sz w:val="14"/>
                <w:szCs w:val="14"/>
              </w:rPr>
            </w:pPr>
          </w:p>
        </w:tc>
        <w:tc>
          <w:tcPr>
            <w:tcW w:w="4966" w:type="dxa"/>
            <w:gridSpan w:val="3"/>
            <w:vAlign w:val="center"/>
          </w:tcPr>
          <w:tbl>
            <w:tblPr>
              <w:tblW w:w="4706" w:type="dxa"/>
              <w:tblInd w:w="1" w:type="dxa"/>
              <w:tblBorders>
                <w:top w:val="single" w:sz="4" w:space="0" w:color="0070C0"/>
                <w:bottom w:val="single" w:sz="4" w:space="0" w:color="0070C0"/>
                <w:insideH w:val="single" w:sz="4" w:space="0" w:color="0070C0"/>
              </w:tblBorders>
              <w:tblLook w:val="04A0" w:firstRow="1" w:lastRow="0" w:firstColumn="1" w:lastColumn="0" w:noHBand="0" w:noVBand="1"/>
            </w:tblPr>
            <w:tblGrid>
              <w:gridCol w:w="971"/>
              <w:gridCol w:w="905"/>
              <w:gridCol w:w="850"/>
              <w:gridCol w:w="658"/>
              <w:gridCol w:w="648"/>
              <w:gridCol w:w="674"/>
            </w:tblGrid>
            <w:tr w:rsidR="0048469C" w:rsidRPr="000F4C2D" w:rsidTr="009B4FB0">
              <w:trPr>
                <w:trHeight w:val="294"/>
              </w:trPr>
              <w:tc>
                <w:tcPr>
                  <w:tcW w:w="971" w:type="dxa"/>
                  <w:tcBorders>
                    <w:right w:val="single" w:sz="4" w:space="0" w:color="0070C0"/>
                  </w:tcBorders>
                  <w:shd w:val="clear" w:color="auto" w:fill="auto"/>
                  <w:noWrap/>
                  <w:vAlign w:val="center"/>
                  <w:hideMark/>
                </w:tcPr>
                <w:p w:rsidR="0048469C" w:rsidRPr="0048469C" w:rsidRDefault="0048469C" w:rsidP="00320C3C">
                  <w:pPr>
                    <w:spacing w:after="0" w:line="240" w:lineRule="auto"/>
                    <w:jc w:val="center"/>
                    <w:rPr>
                      <w:rFonts w:ascii="Times New Roman" w:eastAsia="Times New Roman" w:hAnsi="Times New Roman" w:cs="Times New Roman"/>
                      <w:sz w:val="14"/>
                      <w:szCs w:val="14"/>
                    </w:rPr>
                  </w:pPr>
                </w:p>
              </w:tc>
              <w:tc>
                <w:tcPr>
                  <w:tcW w:w="905" w:type="dxa"/>
                  <w:tcBorders>
                    <w:left w:val="single" w:sz="4" w:space="0" w:color="0070C0"/>
                  </w:tcBorders>
                  <w:shd w:val="clear" w:color="auto" w:fill="auto"/>
                  <w:noWrap/>
                  <w:vAlign w:val="center"/>
                  <w:hideMark/>
                </w:tcPr>
                <w:p w:rsidR="0048469C" w:rsidRPr="0048469C" w:rsidRDefault="0048469C" w:rsidP="00320C3C">
                  <w:pPr>
                    <w:spacing w:after="0" w:line="240" w:lineRule="auto"/>
                    <w:jc w:val="center"/>
                    <w:rPr>
                      <w:rFonts w:ascii="Times New Roman" w:eastAsia="Times New Roman" w:hAnsi="Times New Roman" w:cs="Times New Roman"/>
                      <w:b/>
                      <w:bCs/>
                      <w:color w:val="000000"/>
                      <w:sz w:val="14"/>
                      <w:szCs w:val="14"/>
                    </w:rPr>
                  </w:pPr>
                  <w:r w:rsidRPr="0048469C">
                    <w:rPr>
                      <w:rFonts w:ascii="Times New Roman" w:eastAsia="Times New Roman" w:hAnsi="Times New Roman" w:cs="Times New Roman"/>
                      <w:b/>
                      <w:bCs/>
                      <w:color w:val="000000"/>
                      <w:sz w:val="14"/>
                      <w:szCs w:val="14"/>
                    </w:rPr>
                    <w:t>3 months</w:t>
                  </w:r>
                </w:p>
              </w:tc>
              <w:tc>
                <w:tcPr>
                  <w:tcW w:w="850" w:type="dxa"/>
                  <w:shd w:val="clear" w:color="auto" w:fill="auto"/>
                  <w:noWrap/>
                  <w:vAlign w:val="center"/>
                  <w:hideMark/>
                </w:tcPr>
                <w:p w:rsidR="0048469C" w:rsidRPr="0048469C" w:rsidRDefault="0048469C" w:rsidP="00320C3C">
                  <w:pPr>
                    <w:spacing w:after="0" w:line="240" w:lineRule="auto"/>
                    <w:jc w:val="center"/>
                    <w:rPr>
                      <w:rFonts w:ascii="Times New Roman" w:eastAsia="Times New Roman" w:hAnsi="Times New Roman" w:cs="Times New Roman"/>
                      <w:b/>
                      <w:bCs/>
                      <w:color w:val="000000"/>
                      <w:sz w:val="14"/>
                      <w:szCs w:val="14"/>
                    </w:rPr>
                  </w:pPr>
                  <w:r w:rsidRPr="0048469C">
                    <w:rPr>
                      <w:rFonts w:ascii="Times New Roman" w:eastAsia="Times New Roman" w:hAnsi="Times New Roman" w:cs="Times New Roman"/>
                      <w:b/>
                      <w:bCs/>
                      <w:color w:val="000000"/>
                      <w:sz w:val="14"/>
                      <w:szCs w:val="14"/>
                    </w:rPr>
                    <w:t>6 months</w:t>
                  </w:r>
                </w:p>
              </w:tc>
              <w:tc>
                <w:tcPr>
                  <w:tcW w:w="658" w:type="dxa"/>
                  <w:shd w:val="clear" w:color="auto" w:fill="auto"/>
                  <w:noWrap/>
                  <w:vAlign w:val="center"/>
                  <w:hideMark/>
                </w:tcPr>
                <w:p w:rsidR="0048469C" w:rsidRPr="0048469C" w:rsidRDefault="0048469C" w:rsidP="00320C3C">
                  <w:pPr>
                    <w:spacing w:after="0" w:line="240" w:lineRule="auto"/>
                    <w:jc w:val="center"/>
                    <w:rPr>
                      <w:rFonts w:ascii="Times New Roman" w:eastAsia="Times New Roman" w:hAnsi="Times New Roman" w:cs="Times New Roman"/>
                      <w:b/>
                      <w:bCs/>
                      <w:color w:val="000000"/>
                      <w:sz w:val="14"/>
                      <w:szCs w:val="14"/>
                    </w:rPr>
                  </w:pPr>
                  <w:r w:rsidRPr="0048469C">
                    <w:rPr>
                      <w:rFonts w:ascii="Times New Roman" w:eastAsia="Times New Roman" w:hAnsi="Times New Roman" w:cs="Times New Roman"/>
                      <w:b/>
                      <w:bCs/>
                      <w:color w:val="000000"/>
                      <w:sz w:val="14"/>
                      <w:szCs w:val="14"/>
                    </w:rPr>
                    <w:t>1 year</w:t>
                  </w:r>
                </w:p>
              </w:tc>
              <w:tc>
                <w:tcPr>
                  <w:tcW w:w="648" w:type="dxa"/>
                  <w:shd w:val="clear" w:color="auto" w:fill="auto"/>
                  <w:noWrap/>
                  <w:vAlign w:val="center"/>
                  <w:hideMark/>
                </w:tcPr>
                <w:p w:rsidR="0048469C" w:rsidRPr="0048469C" w:rsidRDefault="0048469C" w:rsidP="00320C3C">
                  <w:pPr>
                    <w:spacing w:after="0" w:line="240" w:lineRule="auto"/>
                    <w:jc w:val="center"/>
                    <w:rPr>
                      <w:rFonts w:ascii="Times New Roman" w:eastAsia="Times New Roman" w:hAnsi="Times New Roman" w:cs="Times New Roman"/>
                      <w:b/>
                      <w:bCs/>
                      <w:color w:val="000000"/>
                      <w:sz w:val="14"/>
                      <w:szCs w:val="14"/>
                    </w:rPr>
                  </w:pPr>
                  <w:r w:rsidRPr="0048469C">
                    <w:rPr>
                      <w:rFonts w:ascii="Times New Roman" w:eastAsia="Times New Roman" w:hAnsi="Times New Roman" w:cs="Times New Roman"/>
                      <w:b/>
                      <w:bCs/>
                      <w:color w:val="000000"/>
                      <w:sz w:val="14"/>
                      <w:szCs w:val="14"/>
                    </w:rPr>
                    <w:t>3 years</w:t>
                  </w:r>
                </w:p>
              </w:tc>
              <w:tc>
                <w:tcPr>
                  <w:tcW w:w="674" w:type="dxa"/>
                  <w:shd w:val="clear" w:color="auto" w:fill="auto"/>
                  <w:noWrap/>
                  <w:vAlign w:val="center"/>
                  <w:hideMark/>
                </w:tcPr>
                <w:p w:rsidR="0048469C" w:rsidRPr="0048469C" w:rsidRDefault="0048469C" w:rsidP="00320C3C">
                  <w:pPr>
                    <w:spacing w:after="0" w:line="240" w:lineRule="auto"/>
                    <w:jc w:val="center"/>
                    <w:rPr>
                      <w:rFonts w:ascii="Times New Roman" w:eastAsia="Times New Roman" w:hAnsi="Times New Roman" w:cs="Times New Roman"/>
                      <w:b/>
                      <w:bCs/>
                      <w:color w:val="000000"/>
                      <w:sz w:val="14"/>
                      <w:szCs w:val="14"/>
                    </w:rPr>
                  </w:pPr>
                  <w:r w:rsidRPr="0048469C">
                    <w:rPr>
                      <w:rFonts w:ascii="Times New Roman" w:eastAsia="Times New Roman" w:hAnsi="Times New Roman" w:cs="Times New Roman"/>
                      <w:b/>
                      <w:bCs/>
                      <w:color w:val="000000"/>
                      <w:sz w:val="14"/>
                      <w:szCs w:val="14"/>
                    </w:rPr>
                    <w:t>5 years</w:t>
                  </w:r>
                </w:p>
              </w:tc>
            </w:tr>
            <w:tr w:rsidR="001D5280" w:rsidRPr="000F4C2D" w:rsidTr="00E30240">
              <w:trPr>
                <w:trHeight w:val="294"/>
              </w:trPr>
              <w:tc>
                <w:tcPr>
                  <w:tcW w:w="971" w:type="dxa"/>
                  <w:tcBorders>
                    <w:right w:val="single" w:sz="4" w:space="0" w:color="0070C0"/>
                  </w:tcBorders>
                  <w:shd w:val="clear" w:color="auto" w:fill="auto"/>
                  <w:noWrap/>
                  <w:vAlign w:val="center"/>
                  <w:hideMark/>
                </w:tcPr>
                <w:p w:rsidR="001D5280" w:rsidRPr="0048469C"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proofErr w:type="spellStart"/>
                  <w:r w:rsidRPr="0048469C">
                    <w:rPr>
                      <w:rFonts w:ascii="Times New Roman" w:hAnsi="Times New Roman" w:cs="Times New Roman"/>
                      <w:b/>
                      <w:bCs/>
                      <w:color w:val="000000"/>
                      <w:sz w:val="14"/>
                      <w:szCs w:val="14"/>
                    </w:rPr>
                    <w:t>VNAllShare</w:t>
                  </w:r>
                  <w:proofErr w:type="spellEnd"/>
                </w:p>
              </w:tc>
              <w:tc>
                <w:tcPr>
                  <w:tcW w:w="905" w:type="dxa"/>
                  <w:tcBorders>
                    <w:left w:val="single" w:sz="4"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97.73%</w:t>
                  </w:r>
                </w:p>
              </w:tc>
              <w:tc>
                <w:tcPr>
                  <w:tcW w:w="850"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97.53%</w:t>
                  </w:r>
                </w:p>
              </w:tc>
              <w:tc>
                <w:tcPr>
                  <w:tcW w:w="658"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97.68%</w:t>
                  </w:r>
                </w:p>
              </w:tc>
              <w:tc>
                <w:tcPr>
                  <w:tcW w:w="648"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95.84%</w:t>
                  </w:r>
                </w:p>
              </w:tc>
              <w:tc>
                <w:tcPr>
                  <w:tcW w:w="674"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94.51%</w:t>
                  </w:r>
                </w:p>
              </w:tc>
            </w:tr>
            <w:tr w:rsidR="001D5280" w:rsidRPr="000F4C2D" w:rsidTr="00E30240">
              <w:trPr>
                <w:trHeight w:val="294"/>
              </w:trPr>
              <w:tc>
                <w:tcPr>
                  <w:tcW w:w="971" w:type="dxa"/>
                  <w:tcBorders>
                    <w:right w:val="single" w:sz="4" w:space="0" w:color="0070C0"/>
                  </w:tcBorders>
                  <w:shd w:val="clear" w:color="auto" w:fill="auto"/>
                  <w:noWrap/>
                  <w:vAlign w:val="center"/>
                  <w:hideMark/>
                </w:tcPr>
                <w:p w:rsidR="001D5280" w:rsidRPr="0048469C"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r w:rsidRPr="0048469C">
                    <w:rPr>
                      <w:rFonts w:ascii="Times New Roman" w:hAnsi="Times New Roman" w:cs="Times New Roman"/>
                      <w:b/>
                      <w:bCs/>
                      <w:color w:val="000000"/>
                      <w:sz w:val="14"/>
                      <w:szCs w:val="14"/>
                    </w:rPr>
                    <w:t>VN30</w:t>
                  </w:r>
                </w:p>
              </w:tc>
              <w:tc>
                <w:tcPr>
                  <w:tcW w:w="905" w:type="dxa"/>
                  <w:tcBorders>
                    <w:left w:val="single" w:sz="4"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95.65%</w:t>
                  </w:r>
                </w:p>
              </w:tc>
              <w:tc>
                <w:tcPr>
                  <w:tcW w:w="850"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95.34%</w:t>
                  </w:r>
                </w:p>
              </w:tc>
              <w:tc>
                <w:tcPr>
                  <w:tcW w:w="658"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96.84%</w:t>
                  </w:r>
                </w:p>
              </w:tc>
              <w:tc>
                <w:tcPr>
                  <w:tcW w:w="648"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95.55%</w:t>
                  </w:r>
                </w:p>
              </w:tc>
              <w:tc>
                <w:tcPr>
                  <w:tcW w:w="674"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94.41%</w:t>
                  </w:r>
                </w:p>
              </w:tc>
            </w:tr>
            <w:tr w:rsidR="001D5280" w:rsidRPr="000F4C2D" w:rsidTr="00E30240">
              <w:trPr>
                <w:trHeight w:val="294"/>
              </w:trPr>
              <w:tc>
                <w:tcPr>
                  <w:tcW w:w="971" w:type="dxa"/>
                  <w:tcBorders>
                    <w:right w:val="single" w:sz="4" w:space="0" w:color="0070C0"/>
                  </w:tcBorders>
                  <w:shd w:val="clear" w:color="auto" w:fill="auto"/>
                  <w:noWrap/>
                  <w:vAlign w:val="center"/>
                  <w:hideMark/>
                </w:tcPr>
                <w:p w:rsidR="001D5280" w:rsidRPr="0048469C"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proofErr w:type="spellStart"/>
                  <w:r w:rsidRPr="0048469C">
                    <w:rPr>
                      <w:rFonts w:ascii="Times New Roman" w:hAnsi="Times New Roman" w:cs="Times New Roman"/>
                      <w:b/>
                      <w:bCs/>
                      <w:color w:val="000000"/>
                      <w:sz w:val="14"/>
                      <w:szCs w:val="14"/>
                    </w:rPr>
                    <w:t>VNMidcap</w:t>
                  </w:r>
                  <w:proofErr w:type="spellEnd"/>
                </w:p>
              </w:tc>
              <w:tc>
                <w:tcPr>
                  <w:tcW w:w="905" w:type="dxa"/>
                  <w:tcBorders>
                    <w:left w:val="single" w:sz="4"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87.26%</w:t>
                  </w:r>
                </w:p>
              </w:tc>
              <w:tc>
                <w:tcPr>
                  <w:tcW w:w="850"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78.70%</w:t>
                  </w:r>
                </w:p>
              </w:tc>
              <w:tc>
                <w:tcPr>
                  <w:tcW w:w="658"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86.02%</w:t>
                  </w:r>
                </w:p>
              </w:tc>
              <w:tc>
                <w:tcPr>
                  <w:tcW w:w="648"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78.81%</w:t>
                  </w:r>
                </w:p>
              </w:tc>
              <w:tc>
                <w:tcPr>
                  <w:tcW w:w="674"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78.50%</w:t>
                  </w:r>
                </w:p>
              </w:tc>
            </w:tr>
            <w:tr w:rsidR="001D5280" w:rsidRPr="000F4C2D" w:rsidTr="00E30240">
              <w:trPr>
                <w:trHeight w:val="294"/>
              </w:trPr>
              <w:tc>
                <w:tcPr>
                  <w:tcW w:w="971" w:type="dxa"/>
                  <w:tcBorders>
                    <w:right w:val="single" w:sz="4" w:space="0" w:color="0070C0"/>
                  </w:tcBorders>
                  <w:shd w:val="clear" w:color="auto" w:fill="auto"/>
                  <w:noWrap/>
                  <w:vAlign w:val="center"/>
                  <w:hideMark/>
                </w:tcPr>
                <w:p w:rsidR="001D5280" w:rsidRPr="0048469C"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r w:rsidRPr="0048469C">
                    <w:rPr>
                      <w:rFonts w:ascii="Times New Roman" w:hAnsi="Times New Roman" w:cs="Times New Roman"/>
                      <w:b/>
                      <w:bCs/>
                      <w:color w:val="000000"/>
                      <w:sz w:val="14"/>
                      <w:szCs w:val="14"/>
                    </w:rPr>
                    <w:t>VN100</w:t>
                  </w:r>
                </w:p>
              </w:tc>
              <w:tc>
                <w:tcPr>
                  <w:tcW w:w="905" w:type="dxa"/>
                  <w:tcBorders>
                    <w:left w:val="single" w:sz="4"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97.70%</w:t>
                  </w:r>
                </w:p>
              </w:tc>
              <w:tc>
                <w:tcPr>
                  <w:tcW w:w="850"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97.50%</w:t>
                  </w:r>
                </w:p>
              </w:tc>
              <w:tc>
                <w:tcPr>
                  <w:tcW w:w="658"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97.66%</w:t>
                  </w:r>
                </w:p>
              </w:tc>
              <w:tc>
                <w:tcPr>
                  <w:tcW w:w="648"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95.94%</w:t>
                  </w:r>
                </w:p>
              </w:tc>
              <w:tc>
                <w:tcPr>
                  <w:tcW w:w="674"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94.63%</w:t>
                  </w:r>
                </w:p>
              </w:tc>
            </w:tr>
            <w:tr w:rsidR="001D5280" w:rsidRPr="000F4C2D" w:rsidTr="00E30240">
              <w:trPr>
                <w:trHeight w:val="294"/>
              </w:trPr>
              <w:tc>
                <w:tcPr>
                  <w:tcW w:w="971" w:type="dxa"/>
                  <w:tcBorders>
                    <w:right w:val="single" w:sz="4" w:space="0" w:color="0070C0"/>
                  </w:tcBorders>
                  <w:shd w:val="clear" w:color="auto" w:fill="auto"/>
                  <w:noWrap/>
                  <w:vAlign w:val="center"/>
                  <w:hideMark/>
                </w:tcPr>
                <w:p w:rsidR="001D5280" w:rsidRPr="0048469C"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proofErr w:type="spellStart"/>
                  <w:r w:rsidRPr="0048469C">
                    <w:rPr>
                      <w:rFonts w:ascii="Times New Roman" w:hAnsi="Times New Roman" w:cs="Times New Roman"/>
                      <w:b/>
                      <w:bCs/>
                      <w:color w:val="000000"/>
                      <w:sz w:val="14"/>
                      <w:szCs w:val="14"/>
                    </w:rPr>
                    <w:t>VNSmallcap</w:t>
                  </w:r>
                  <w:proofErr w:type="spellEnd"/>
                </w:p>
              </w:tc>
              <w:tc>
                <w:tcPr>
                  <w:tcW w:w="905" w:type="dxa"/>
                  <w:tcBorders>
                    <w:left w:val="single" w:sz="4"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72.13%</w:t>
                  </w:r>
                </w:p>
              </w:tc>
              <w:tc>
                <w:tcPr>
                  <w:tcW w:w="850"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69.00%</w:t>
                  </w:r>
                </w:p>
              </w:tc>
              <w:tc>
                <w:tcPr>
                  <w:tcW w:w="658"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79.02%</w:t>
                  </w:r>
                </w:p>
              </w:tc>
              <w:tc>
                <w:tcPr>
                  <w:tcW w:w="648"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69.16%</w:t>
                  </w:r>
                </w:p>
              </w:tc>
              <w:tc>
                <w:tcPr>
                  <w:tcW w:w="674"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557D3B">
                    <w:rPr>
                      <w:rFonts w:ascii="Times New Roman" w:hAnsi="Times New Roman" w:cs="Times New Roman"/>
                      <w:color w:val="000000"/>
                      <w:sz w:val="14"/>
                      <w:szCs w:val="14"/>
                    </w:rPr>
                    <w:t>69.26%</w:t>
                  </w:r>
                </w:p>
              </w:tc>
            </w:tr>
          </w:tbl>
          <w:p w:rsidR="00CF648E" w:rsidRPr="000F4C2D" w:rsidRDefault="00CF648E" w:rsidP="00320C3C">
            <w:pPr>
              <w:jc w:val="center"/>
              <w:rPr>
                <w:rFonts w:ascii="Times New Roman" w:hAnsi="Times New Roman" w:cs="Times New Roman"/>
                <w:sz w:val="14"/>
                <w:szCs w:val="14"/>
              </w:rPr>
            </w:pPr>
          </w:p>
        </w:tc>
      </w:tr>
      <w:tr w:rsidR="00CF648E" w:rsidRPr="006D2F55" w:rsidTr="009B4FB0">
        <w:tblPrEx>
          <w:tblCellMar>
            <w:left w:w="108" w:type="dxa"/>
            <w:right w:w="108" w:type="dxa"/>
          </w:tblCellMar>
        </w:tblPrEx>
        <w:trPr>
          <w:trHeight w:val="298"/>
          <w:jc w:val="center"/>
        </w:trPr>
        <w:tc>
          <w:tcPr>
            <w:tcW w:w="6352" w:type="dxa"/>
            <w:shd w:val="clear" w:color="auto" w:fill="0070C0"/>
            <w:vAlign w:val="center"/>
          </w:tcPr>
          <w:p w:rsidR="00CF648E" w:rsidRPr="000F4C2D" w:rsidRDefault="006235F1" w:rsidP="0010674A">
            <w:pPr>
              <w:rPr>
                <w:rFonts w:ascii="Times New Roman" w:eastAsia="Times New Roman" w:hAnsi="Times New Roman" w:cs="Times New Roman"/>
                <w:sz w:val="14"/>
                <w:szCs w:val="14"/>
              </w:rPr>
            </w:pPr>
            <w:r w:rsidRPr="006D2F55">
              <w:rPr>
                <w:rFonts w:ascii="Times New Roman" w:hAnsi="Times New Roman" w:cs="Times New Roman"/>
                <w:b/>
                <w:color w:val="FFFFFF" w:themeColor="background1"/>
              </w:rPr>
              <w:t>Indices Characteristics</w:t>
            </w:r>
          </w:p>
        </w:tc>
        <w:tc>
          <w:tcPr>
            <w:tcW w:w="4966" w:type="dxa"/>
            <w:gridSpan w:val="3"/>
          </w:tcPr>
          <w:p w:rsidR="00CF648E" w:rsidRPr="000F4C2D" w:rsidRDefault="00CF648E" w:rsidP="00C84839">
            <w:pPr>
              <w:jc w:val="center"/>
              <w:rPr>
                <w:rFonts w:ascii="Times New Roman" w:eastAsia="Times New Roman" w:hAnsi="Times New Roman" w:cs="Times New Roman"/>
                <w:sz w:val="14"/>
                <w:szCs w:val="14"/>
              </w:rPr>
            </w:pPr>
          </w:p>
        </w:tc>
      </w:tr>
      <w:tr w:rsidR="00CF648E" w:rsidRPr="006D2F55" w:rsidTr="0048469C">
        <w:tblPrEx>
          <w:tblCellMar>
            <w:left w:w="108" w:type="dxa"/>
            <w:right w:w="108" w:type="dxa"/>
          </w:tblCellMar>
        </w:tblPrEx>
        <w:trPr>
          <w:trHeight w:hRule="exact" w:val="2170"/>
          <w:jc w:val="center"/>
        </w:trPr>
        <w:tc>
          <w:tcPr>
            <w:tcW w:w="11318" w:type="dxa"/>
            <w:gridSpan w:val="4"/>
            <w:vAlign w:val="center"/>
          </w:tcPr>
          <w:tbl>
            <w:tblPr>
              <w:tblStyle w:val="LightList-Accent5"/>
              <w:tblpPr w:leftFromText="180" w:rightFromText="180" w:vertAnchor="page" w:horzAnchor="margin" w:tblpXSpec="center" w:tblpY="1"/>
              <w:tblOverlap w:val="never"/>
              <w:tblW w:w="10959" w:type="dxa"/>
              <w:tblBorders>
                <w:top w:val="single" w:sz="8" w:space="0" w:color="0070C0"/>
                <w:left w:val="none" w:sz="0" w:space="0" w:color="auto"/>
                <w:bottom w:val="single" w:sz="8" w:space="0" w:color="0070C0"/>
                <w:right w:val="none" w:sz="0" w:space="0" w:color="auto"/>
                <w:insideH w:val="single" w:sz="8" w:space="0" w:color="0070C0"/>
              </w:tblBorders>
              <w:tblLook w:val="04A0" w:firstRow="1" w:lastRow="0" w:firstColumn="1" w:lastColumn="0" w:noHBand="0" w:noVBand="1"/>
            </w:tblPr>
            <w:tblGrid>
              <w:gridCol w:w="4253"/>
              <w:gridCol w:w="1485"/>
              <w:gridCol w:w="1309"/>
              <w:gridCol w:w="1309"/>
              <w:gridCol w:w="1296"/>
              <w:gridCol w:w="1307"/>
            </w:tblGrid>
            <w:tr w:rsidR="00CF648E" w:rsidRPr="00FA53D4" w:rsidTr="005D19FF">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hideMark/>
                </w:tcPr>
                <w:p w:rsidR="00CF648E" w:rsidRPr="00FA53D4" w:rsidRDefault="00CF648E" w:rsidP="0066444D">
                  <w:pPr>
                    <w:jc w:val="center"/>
                    <w:rPr>
                      <w:rFonts w:ascii="Times New Roman" w:eastAsia="Times New Roman" w:hAnsi="Times New Roman" w:cs="Times New Roman"/>
                      <w:b w:val="0"/>
                      <w:color w:val="auto"/>
                      <w:sz w:val="14"/>
                      <w:szCs w:val="14"/>
                    </w:rPr>
                  </w:pPr>
                </w:p>
              </w:tc>
              <w:tc>
                <w:tcPr>
                  <w:tcW w:w="1485" w:type="dxa"/>
                  <w:shd w:val="clear" w:color="auto" w:fill="auto"/>
                  <w:vAlign w:val="center"/>
                </w:tcPr>
                <w:p w:rsidR="00CF648E" w:rsidRPr="00FA53D4" w:rsidRDefault="00B93E50" w:rsidP="00BB4F5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proofErr w:type="spellStart"/>
                  <w:r w:rsidRPr="00FA53D4">
                    <w:rPr>
                      <w:rFonts w:ascii="Times New Roman" w:eastAsia="Times New Roman" w:hAnsi="Times New Roman" w:cs="Times New Roman"/>
                      <w:color w:val="auto"/>
                      <w:sz w:val="14"/>
                      <w:szCs w:val="14"/>
                    </w:rPr>
                    <w:t>VNAllshare</w:t>
                  </w:r>
                  <w:proofErr w:type="spellEnd"/>
                </w:p>
              </w:tc>
              <w:tc>
                <w:tcPr>
                  <w:tcW w:w="1309" w:type="dxa"/>
                  <w:shd w:val="clear" w:color="auto" w:fill="auto"/>
                  <w:vAlign w:val="center"/>
                </w:tcPr>
                <w:p w:rsidR="00CF648E" w:rsidRPr="00FA53D4" w:rsidRDefault="00CF648E" w:rsidP="00B93E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FA53D4">
                    <w:rPr>
                      <w:rFonts w:ascii="Times New Roman" w:eastAsia="Times New Roman" w:hAnsi="Times New Roman" w:cs="Times New Roman"/>
                      <w:color w:val="auto"/>
                      <w:sz w:val="14"/>
                      <w:szCs w:val="14"/>
                    </w:rPr>
                    <w:t>VN</w:t>
                  </w:r>
                  <w:r w:rsidR="00B93E50" w:rsidRPr="00FA53D4">
                    <w:rPr>
                      <w:rFonts w:ascii="Times New Roman" w:eastAsia="Times New Roman" w:hAnsi="Times New Roman" w:cs="Times New Roman"/>
                      <w:color w:val="auto"/>
                      <w:sz w:val="14"/>
                      <w:szCs w:val="14"/>
                    </w:rPr>
                    <w:t>30</w:t>
                  </w:r>
                </w:p>
              </w:tc>
              <w:tc>
                <w:tcPr>
                  <w:tcW w:w="1309" w:type="dxa"/>
                  <w:shd w:val="clear" w:color="auto" w:fill="auto"/>
                  <w:vAlign w:val="center"/>
                </w:tcPr>
                <w:p w:rsidR="00CF648E" w:rsidRPr="00FA53D4" w:rsidRDefault="00CF648E" w:rsidP="00BB4F5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proofErr w:type="spellStart"/>
                  <w:r w:rsidRPr="00FA53D4">
                    <w:rPr>
                      <w:rFonts w:ascii="Times New Roman" w:eastAsia="Times New Roman" w:hAnsi="Times New Roman" w:cs="Times New Roman"/>
                      <w:color w:val="auto"/>
                      <w:sz w:val="14"/>
                      <w:szCs w:val="14"/>
                    </w:rPr>
                    <w:t>VNMidcap</w:t>
                  </w:r>
                  <w:proofErr w:type="spellEnd"/>
                </w:p>
              </w:tc>
              <w:tc>
                <w:tcPr>
                  <w:tcW w:w="1296" w:type="dxa"/>
                  <w:shd w:val="clear" w:color="auto" w:fill="auto"/>
                  <w:vAlign w:val="center"/>
                </w:tcPr>
                <w:p w:rsidR="00CF648E" w:rsidRPr="00FA53D4" w:rsidRDefault="00B93E50" w:rsidP="006644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r w:rsidRPr="00FA53D4">
                    <w:rPr>
                      <w:rFonts w:ascii="Times New Roman" w:eastAsia="Times New Roman" w:hAnsi="Times New Roman" w:cs="Times New Roman"/>
                      <w:color w:val="auto"/>
                      <w:sz w:val="14"/>
                      <w:szCs w:val="14"/>
                    </w:rPr>
                    <w:t>VN100</w:t>
                  </w:r>
                </w:p>
              </w:tc>
              <w:tc>
                <w:tcPr>
                  <w:tcW w:w="1307" w:type="dxa"/>
                  <w:shd w:val="clear" w:color="auto" w:fill="auto"/>
                  <w:vAlign w:val="center"/>
                </w:tcPr>
                <w:p w:rsidR="00CF648E" w:rsidRPr="00FA53D4" w:rsidRDefault="00CF648E" w:rsidP="00B93E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4"/>
                      <w:szCs w:val="14"/>
                    </w:rPr>
                  </w:pPr>
                  <w:proofErr w:type="spellStart"/>
                  <w:r w:rsidRPr="00FA53D4">
                    <w:rPr>
                      <w:rFonts w:ascii="Times New Roman" w:eastAsia="Times New Roman" w:hAnsi="Times New Roman" w:cs="Times New Roman"/>
                      <w:color w:val="auto"/>
                      <w:sz w:val="14"/>
                      <w:szCs w:val="14"/>
                    </w:rPr>
                    <w:t>VN</w:t>
                  </w:r>
                  <w:r w:rsidR="00B93E50" w:rsidRPr="00FA53D4">
                    <w:rPr>
                      <w:rFonts w:ascii="Times New Roman" w:eastAsia="Times New Roman" w:hAnsi="Times New Roman" w:cs="Times New Roman"/>
                      <w:color w:val="auto"/>
                      <w:sz w:val="14"/>
                      <w:szCs w:val="14"/>
                    </w:rPr>
                    <w:t>Smallcap</w:t>
                  </w:r>
                  <w:proofErr w:type="spellEnd"/>
                </w:p>
              </w:tc>
            </w:tr>
            <w:tr w:rsidR="001D5280" w:rsidRPr="00FA53D4" w:rsidTr="00E3024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4253" w:type="dxa"/>
                  <w:hideMark/>
                </w:tcPr>
                <w:p w:rsidR="001D5280" w:rsidRPr="00FA53D4" w:rsidRDefault="001D5280" w:rsidP="001D5280">
                  <w:pPr>
                    <w:rPr>
                      <w:rFonts w:ascii="Times New Roman" w:eastAsia="Times New Roman" w:hAnsi="Times New Roman" w:cs="Times New Roman"/>
                      <w:sz w:val="14"/>
                      <w:szCs w:val="14"/>
                    </w:rPr>
                  </w:pPr>
                  <w:r w:rsidRPr="00FA53D4">
                    <w:rPr>
                      <w:rFonts w:ascii="Times New Roman" w:eastAsia="Times New Roman" w:hAnsi="Times New Roman" w:cs="Times New Roman"/>
                      <w:sz w:val="14"/>
                      <w:szCs w:val="14"/>
                    </w:rPr>
                    <w:t>Number of Constituents</w:t>
                  </w:r>
                </w:p>
              </w:tc>
              <w:tc>
                <w:tcPr>
                  <w:tcW w:w="1485"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557D3B">
                    <w:rPr>
                      <w:rFonts w:ascii="Times New Roman" w:hAnsi="Times New Roman" w:cs="Times New Roman"/>
                      <w:b/>
                      <w:bCs/>
                      <w:color w:val="000000"/>
                      <w:sz w:val="16"/>
                      <w:szCs w:val="16"/>
                    </w:rPr>
                    <w:t>249</w:t>
                  </w:r>
                </w:p>
              </w:tc>
              <w:tc>
                <w:tcPr>
                  <w:tcW w:w="1309"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557D3B">
                    <w:rPr>
                      <w:rFonts w:ascii="Times New Roman" w:hAnsi="Times New Roman" w:cs="Times New Roman"/>
                      <w:b/>
                      <w:bCs/>
                      <w:color w:val="000000"/>
                      <w:sz w:val="16"/>
                      <w:szCs w:val="16"/>
                    </w:rPr>
                    <w:t>30</w:t>
                  </w:r>
                </w:p>
              </w:tc>
              <w:tc>
                <w:tcPr>
                  <w:tcW w:w="1309"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557D3B">
                    <w:rPr>
                      <w:rFonts w:ascii="Times New Roman" w:hAnsi="Times New Roman" w:cs="Times New Roman"/>
                      <w:b/>
                      <w:bCs/>
                      <w:color w:val="000000"/>
                      <w:sz w:val="16"/>
                      <w:szCs w:val="16"/>
                    </w:rPr>
                    <w:t>70</w:t>
                  </w:r>
                </w:p>
              </w:tc>
              <w:tc>
                <w:tcPr>
                  <w:tcW w:w="1296"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557D3B">
                    <w:rPr>
                      <w:rFonts w:ascii="Times New Roman" w:hAnsi="Times New Roman" w:cs="Times New Roman"/>
                      <w:b/>
                      <w:bCs/>
                      <w:color w:val="000000"/>
                      <w:sz w:val="16"/>
                      <w:szCs w:val="16"/>
                    </w:rPr>
                    <w:t>100</w:t>
                  </w:r>
                </w:p>
              </w:tc>
              <w:tc>
                <w:tcPr>
                  <w:tcW w:w="1307" w:type="dxa"/>
                  <w:vAlign w:val="center"/>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557D3B">
                    <w:rPr>
                      <w:rFonts w:ascii="Times New Roman" w:hAnsi="Times New Roman" w:cs="Times New Roman"/>
                      <w:b/>
                      <w:bCs/>
                      <w:color w:val="000000"/>
                      <w:sz w:val="16"/>
                      <w:szCs w:val="16"/>
                    </w:rPr>
                    <w:t>149</w:t>
                  </w:r>
                </w:p>
              </w:tc>
            </w:tr>
            <w:tr w:rsidR="001D5280" w:rsidRPr="00FA53D4" w:rsidTr="00E30240">
              <w:trPr>
                <w:trHeight w:val="96"/>
              </w:trPr>
              <w:tc>
                <w:tcPr>
                  <w:cnfStyle w:val="001000000000" w:firstRow="0" w:lastRow="0" w:firstColumn="1" w:lastColumn="0" w:oddVBand="0" w:evenVBand="0" w:oddHBand="0" w:evenHBand="0" w:firstRowFirstColumn="0" w:firstRowLastColumn="0" w:lastRowFirstColumn="0" w:lastRowLastColumn="0"/>
                  <w:tcW w:w="4253" w:type="dxa"/>
                  <w:hideMark/>
                </w:tcPr>
                <w:p w:rsidR="001D5280" w:rsidRPr="00FA53D4" w:rsidRDefault="001D5280" w:rsidP="001D5280">
                  <w:pPr>
                    <w:rPr>
                      <w:rFonts w:ascii="Times New Roman" w:eastAsia="Times New Roman" w:hAnsi="Times New Roman" w:cs="Times New Roman"/>
                      <w:b w:val="0"/>
                      <w:sz w:val="14"/>
                      <w:szCs w:val="14"/>
                    </w:rPr>
                  </w:pPr>
                  <w:r w:rsidRPr="00FA53D4">
                    <w:rPr>
                      <w:rFonts w:ascii="Times New Roman" w:eastAsia="Times New Roman" w:hAnsi="Times New Roman" w:cs="Times New Roman"/>
                      <w:sz w:val="14"/>
                      <w:szCs w:val="14"/>
                    </w:rPr>
                    <w:t>Full Market-Capitalization (Billion VND)</w:t>
                  </w:r>
                </w:p>
              </w:tc>
              <w:tc>
                <w:tcPr>
                  <w:tcW w:w="1485"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2,735,831</w:t>
                  </w:r>
                </w:p>
              </w:tc>
              <w:tc>
                <w:tcPr>
                  <w:tcW w:w="1309"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2,350,098</w:t>
                  </w:r>
                </w:p>
              </w:tc>
              <w:tc>
                <w:tcPr>
                  <w:tcW w:w="1309"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295,667</w:t>
                  </w:r>
                </w:p>
              </w:tc>
              <w:tc>
                <w:tcPr>
                  <w:tcW w:w="1296"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2,645,765</w:t>
                  </w:r>
                </w:p>
              </w:tc>
              <w:tc>
                <w:tcPr>
                  <w:tcW w:w="1307" w:type="dxa"/>
                  <w:vAlign w:val="center"/>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90,066</w:t>
                  </w:r>
                </w:p>
              </w:tc>
            </w:tr>
            <w:tr w:rsidR="001D5280" w:rsidRPr="00FA53D4" w:rsidTr="00E3024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4253" w:type="dxa"/>
                  <w:hideMark/>
                </w:tcPr>
                <w:p w:rsidR="001D5280" w:rsidRPr="00FA53D4" w:rsidRDefault="001D5280" w:rsidP="001D5280">
                  <w:pPr>
                    <w:rPr>
                      <w:rFonts w:ascii="Times New Roman" w:eastAsia="Times New Roman" w:hAnsi="Times New Roman" w:cs="Times New Roman"/>
                      <w:sz w:val="14"/>
                      <w:szCs w:val="14"/>
                    </w:rPr>
                  </w:pPr>
                  <w:r w:rsidRPr="00FA53D4">
                    <w:rPr>
                      <w:rFonts w:ascii="Times New Roman" w:eastAsia="Times New Roman" w:hAnsi="Times New Roman" w:cs="Times New Roman"/>
                      <w:sz w:val="14"/>
                      <w:szCs w:val="14"/>
                    </w:rPr>
                    <w:t>Free-float adjusted Market-Capitalization (Billion VND)</w:t>
                  </w:r>
                </w:p>
              </w:tc>
              <w:tc>
                <w:tcPr>
                  <w:tcW w:w="1485"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979,522</w:t>
                  </w:r>
                </w:p>
              </w:tc>
              <w:tc>
                <w:tcPr>
                  <w:tcW w:w="1309"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790,328</w:t>
                  </w:r>
                </w:p>
              </w:tc>
              <w:tc>
                <w:tcPr>
                  <w:tcW w:w="1309"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144,440</w:t>
                  </w:r>
                </w:p>
              </w:tc>
              <w:tc>
                <w:tcPr>
                  <w:tcW w:w="1296"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934,768</w:t>
                  </w:r>
                </w:p>
              </w:tc>
              <w:tc>
                <w:tcPr>
                  <w:tcW w:w="1307" w:type="dxa"/>
                  <w:vAlign w:val="center"/>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44,754</w:t>
                  </w:r>
                </w:p>
              </w:tc>
            </w:tr>
            <w:tr w:rsidR="001D5280" w:rsidRPr="00FA53D4" w:rsidTr="00E30240">
              <w:trPr>
                <w:trHeight w:val="96"/>
              </w:trPr>
              <w:tc>
                <w:tcPr>
                  <w:cnfStyle w:val="001000000000" w:firstRow="0" w:lastRow="0" w:firstColumn="1" w:lastColumn="0" w:oddVBand="0" w:evenVBand="0" w:oddHBand="0" w:evenHBand="0" w:firstRowFirstColumn="0" w:firstRowLastColumn="0" w:lastRowFirstColumn="0" w:lastRowLastColumn="0"/>
                  <w:tcW w:w="4253" w:type="dxa"/>
                  <w:hideMark/>
                </w:tcPr>
                <w:p w:rsidR="001D5280" w:rsidRPr="00FA53D4" w:rsidRDefault="001D5280" w:rsidP="001D5280">
                  <w:pPr>
                    <w:jc w:val="center"/>
                    <w:rPr>
                      <w:rFonts w:ascii="Times New Roman" w:eastAsia="Times New Roman" w:hAnsi="Times New Roman" w:cs="Times New Roman"/>
                      <w:b w:val="0"/>
                      <w:sz w:val="14"/>
                      <w:szCs w:val="14"/>
                    </w:rPr>
                  </w:pPr>
                  <w:r w:rsidRPr="00FA53D4">
                    <w:rPr>
                      <w:rFonts w:ascii="Times New Roman" w:eastAsia="Times New Roman" w:hAnsi="Times New Roman" w:cs="Times New Roman"/>
                      <w:sz w:val="14"/>
                      <w:szCs w:val="14"/>
                    </w:rPr>
                    <w:t>Average</w:t>
                  </w:r>
                </w:p>
              </w:tc>
              <w:tc>
                <w:tcPr>
                  <w:tcW w:w="1485"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3,934</w:t>
                  </w:r>
                </w:p>
              </w:tc>
              <w:tc>
                <w:tcPr>
                  <w:tcW w:w="1309"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26,344</w:t>
                  </w:r>
                </w:p>
              </w:tc>
              <w:tc>
                <w:tcPr>
                  <w:tcW w:w="1309"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2,063</w:t>
                  </w:r>
                </w:p>
              </w:tc>
              <w:tc>
                <w:tcPr>
                  <w:tcW w:w="1296"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9,348</w:t>
                  </w:r>
                </w:p>
              </w:tc>
              <w:tc>
                <w:tcPr>
                  <w:tcW w:w="1307" w:type="dxa"/>
                  <w:vAlign w:val="center"/>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300</w:t>
                  </w:r>
                </w:p>
              </w:tc>
            </w:tr>
            <w:tr w:rsidR="001D5280" w:rsidRPr="00FA53D4" w:rsidTr="00E3024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4253" w:type="dxa"/>
                  <w:hideMark/>
                </w:tcPr>
                <w:p w:rsidR="001D5280" w:rsidRPr="00FA53D4" w:rsidRDefault="001D5280" w:rsidP="001D5280">
                  <w:pPr>
                    <w:jc w:val="center"/>
                    <w:rPr>
                      <w:rFonts w:ascii="Times New Roman" w:eastAsia="Times New Roman" w:hAnsi="Times New Roman" w:cs="Times New Roman"/>
                      <w:b w:val="0"/>
                      <w:sz w:val="14"/>
                      <w:szCs w:val="14"/>
                    </w:rPr>
                  </w:pPr>
                  <w:r w:rsidRPr="00FA53D4">
                    <w:rPr>
                      <w:rFonts w:ascii="Times New Roman" w:eastAsia="Times New Roman" w:hAnsi="Times New Roman" w:cs="Times New Roman"/>
                      <w:sz w:val="14"/>
                      <w:szCs w:val="14"/>
                    </w:rPr>
                    <w:t>Max</w:t>
                  </w:r>
                </w:p>
              </w:tc>
              <w:tc>
                <w:tcPr>
                  <w:tcW w:w="1485"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112,756</w:t>
                  </w:r>
                </w:p>
              </w:tc>
              <w:tc>
                <w:tcPr>
                  <w:tcW w:w="1309"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112,756</w:t>
                  </w:r>
                </w:p>
              </w:tc>
              <w:tc>
                <w:tcPr>
                  <w:tcW w:w="1309"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11,181</w:t>
                  </w:r>
                </w:p>
              </w:tc>
              <w:tc>
                <w:tcPr>
                  <w:tcW w:w="1296"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112,756</w:t>
                  </w:r>
                </w:p>
              </w:tc>
              <w:tc>
                <w:tcPr>
                  <w:tcW w:w="1307" w:type="dxa"/>
                  <w:vAlign w:val="center"/>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1,835</w:t>
                  </w:r>
                </w:p>
              </w:tc>
            </w:tr>
            <w:tr w:rsidR="001D5280" w:rsidRPr="00FA53D4" w:rsidTr="00E30240">
              <w:trPr>
                <w:trHeight w:val="96"/>
              </w:trPr>
              <w:tc>
                <w:tcPr>
                  <w:cnfStyle w:val="001000000000" w:firstRow="0" w:lastRow="0" w:firstColumn="1" w:lastColumn="0" w:oddVBand="0" w:evenVBand="0" w:oddHBand="0" w:evenHBand="0" w:firstRowFirstColumn="0" w:firstRowLastColumn="0" w:lastRowFirstColumn="0" w:lastRowLastColumn="0"/>
                  <w:tcW w:w="4253" w:type="dxa"/>
                  <w:hideMark/>
                </w:tcPr>
                <w:p w:rsidR="001D5280" w:rsidRPr="00FA53D4" w:rsidRDefault="001D5280" w:rsidP="001D5280">
                  <w:pPr>
                    <w:jc w:val="center"/>
                    <w:rPr>
                      <w:rFonts w:ascii="Times New Roman" w:eastAsia="Times New Roman" w:hAnsi="Times New Roman" w:cs="Times New Roman"/>
                      <w:b w:val="0"/>
                      <w:sz w:val="14"/>
                      <w:szCs w:val="14"/>
                    </w:rPr>
                  </w:pPr>
                  <w:r w:rsidRPr="00FA53D4">
                    <w:rPr>
                      <w:rFonts w:ascii="Times New Roman" w:eastAsia="Times New Roman" w:hAnsi="Times New Roman" w:cs="Times New Roman"/>
                      <w:sz w:val="14"/>
                      <w:szCs w:val="14"/>
                    </w:rPr>
                    <w:t>Min</w:t>
                  </w:r>
                </w:p>
              </w:tc>
              <w:tc>
                <w:tcPr>
                  <w:tcW w:w="1485"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15</w:t>
                  </w:r>
                </w:p>
              </w:tc>
              <w:tc>
                <w:tcPr>
                  <w:tcW w:w="1309"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2,794</w:t>
                  </w:r>
                </w:p>
              </w:tc>
              <w:tc>
                <w:tcPr>
                  <w:tcW w:w="1309"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204</w:t>
                  </w:r>
                </w:p>
              </w:tc>
              <w:tc>
                <w:tcPr>
                  <w:tcW w:w="1296"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204</w:t>
                  </w:r>
                </w:p>
              </w:tc>
              <w:tc>
                <w:tcPr>
                  <w:tcW w:w="1307" w:type="dxa"/>
                  <w:vAlign w:val="center"/>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15</w:t>
                  </w:r>
                </w:p>
              </w:tc>
            </w:tr>
            <w:tr w:rsidR="001D5280" w:rsidRPr="00FA53D4" w:rsidTr="00E3024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4253" w:type="dxa"/>
                  <w:hideMark/>
                </w:tcPr>
                <w:p w:rsidR="001D5280" w:rsidRPr="00FA53D4" w:rsidRDefault="001D5280" w:rsidP="001D5280">
                  <w:pPr>
                    <w:jc w:val="center"/>
                    <w:rPr>
                      <w:rFonts w:ascii="Times New Roman" w:eastAsia="Times New Roman" w:hAnsi="Times New Roman" w:cs="Times New Roman"/>
                      <w:b w:val="0"/>
                      <w:sz w:val="14"/>
                      <w:szCs w:val="14"/>
                    </w:rPr>
                  </w:pPr>
                  <w:r w:rsidRPr="00FA53D4">
                    <w:rPr>
                      <w:rFonts w:ascii="Times New Roman" w:eastAsia="Times New Roman" w:hAnsi="Times New Roman" w:cs="Times New Roman"/>
                      <w:sz w:val="14"/>
                      <w:szCs w:val="14"/>
                    </w:rPr>
                    <w:t>Median</w:t>
                  </w:r>
                </w:p>
              </w:tc>
              <w:tc>
                <w:tcPr>
                  <w:tcW w:w="1485"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436</w:t>
                  </w:r>
                </w:p>
              </w:tc>
              <w:tc>
                <w:tcPr>
                  <w:tcW w:w="1309"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19,219</w:t>
                  </w:r>
                </w:p>
              </w:tc>
              <w:tc>
                <w:tcPr>
                  <w:tcW w:w="1309"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1,701</w:t>
                  </w:r>
                </w:p>
              </w:tc>
              <w:tc>
                <w:tcPr>
                  <w:tcW w:w="1296"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2,359</w:t>
                  </w:r>
                </w:p>
              </w:tc>
              <w:tc>
                <w:tcPr>
                  <w:tcW w:w="1307" w:type="dxa"/>
                  <w:vAlign w:val="center"/>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233</w:t>
                  </w:r>
                </w:p>
              </w:tc>
            </w:tr>
            <w:tr w:rsidR="001D5280" w:rsidRPr="00FA53D4" w:rsidTr="00E30240">
              <w:trPr>
                <w:trHeight w:val="96"/>
              </w:trPr>
              <w:tc>
                <w:tcPr>
                  <w:cnfStyle w:val="001000000000" w:firstRow="0" w:lastRow="0" w:firstColumn="1" w:lastColumn="0" w:oddVBand="0" w:evenVBand="0" w:oddHBand="0" w:evenHBand="0" w:firstRowFirstColumn="0" w:firstRowLastColumn="0" w:lastRowFirstColumn="0" w:lastRowLastColumn="0"/>
                  <w:tcW w:w="4253" w:type="dxa"/>
                  <w:hideMark/>
                </w:tcPr>
                <w:p w:rsidR="001D5280" w:rsidRPr="00FA53D4" w:rsidRDefault="001D5280" w:rsidP="001D5280">
                  <w:pPr>
                    <w:rPr>
                      <w:rFonts w:ascii="Times New Roman" w:eastAsia="Times New Roman" w:hAnsi="Times New Roman" w:cs="Times New Roman"/>
                      <w:b w:val="0"/>
                      <w:sz w:val="14"/>
                      <w:szCs w:val="14"/>
                    </w:rPr>
                  </w:pPr>
                  <w:r w:rsidRPr="00FA53D4">
                    <w:rPr>
                      <w:rFonts w:ascii="Times New Roman" w:eastAsia="Times New Roman" w:hAnsi="Times New Roman" w:cs="Times New Roman"/>
                      <w:sz w:val="14"/>
                      <w:szCs w:val="14"/>
                    </w:rPr>
                    <w:t>Weighted capitalization of largest company</w:t>
                  </w:r>
                </w:p>
              </w:tc>
              <w:tc>
                <w:tcPr>
                  <w:tcW w:w="1485"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11.51%</w:t>
                  </w:r>
                </w:p>
              </w:tc>
              <w:tc>
                <w:tcPr>
                  <w:tcW w:w="1309"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14.27%</w:t>
                  </w:r>
                </w:p>
              </w:tc>
              <w:tc>
                <w:tcPr>
                  <w:tcW w:w="1309"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7.74%</w:t>
                  </w:r>
                </w:p>
              </w:tc>
              <w:tc>
                <w:tcPr>
                  <w:tcW w:w="1296" w:type="dxa"/>
                  <w:vAlign w:val="bottom"/>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12.06%</w:t>
                  </w:r>
                </w:p>
              </w:tc>
              <w:tc>
                <w:tcPr>
                  <w:tcW w:w="1307" w:type="dxa"/>
                  <w:vAlign w:val="center"/>
                </w:tcPr>
                <w:p w:rsidR="001D5280" w:rsidRPr="00557D3B"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4.10%</w:t>
                  </w:r>
                </w:p>
              </w:tc>
            </w:tr>
            <w:tr w:rsidR="001D5280" w:rsidRPr="00FA53D4" w:rsidTr="00E3024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4253" w:type="dxa"/>
                  <w:hideMark/>
                </w:tcPr>
                <w:p w:rsidR="001D5280" w:rsidRPr="00FA53D4" w:rsidRDefault="001D5280" w:rsidP="001D5280">
                  <w:pPr>
                    <w:rPr>
                      <w:rFonts w:ascii="Times New Roman" w:eastAsia="Times New Roman" w:hAnsi="Times New Roman" w:cs="Times New Roman"/>
                      <w:b w:val="0"/>
                      <w:sz w:val="14"/>
                      <w:szCs w:val="14"/>
                    </w:rPr>
                  </w:pPr>
                  <w:r w:rsidRPr="00FA53D4">
                    <w:rPr>
                      <w:rFonts w:ascii="Times New Roman" w:eastAsia="Times New Roman" w:hAnsi="Times New Roman" w:cs="Times New Roman"/>
                      <w:sz w:val="14"/>
                      <w:szCs w:val="14"/>
                    </w:rPr>
                    <w:t>Weighted capitalization of top-10 companies</w:t>
                  </w:r>
                </w:p>
              </w:tc>
              <w:tc>
                <w:tcPr>
                  <w:tcW w:w="1485"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56.28%</w:t>
                  </w:r>
                </w:p>
              </w:tc>
              <w:tc>
                <w:tcPr>
                  <w:tcW w:w="1309"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69.75%</w:t>
                  </w:r>
                </w:p>
              </w:tc>
              <w:tc>
                <w:tcPr>
                  <w:tcW w:w="1309"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38.93%</w:t>
                  </w:r>
                </w:p>
              </w:tc>
              <w:tc>
                <w:tcPr>
                  <w:tcW w:w="1296" w:type="dxa"/>
                  <w:vAlign w:val="bottom"/>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58.97%</w:t>
                  </w:r>
                </w:p>
              </w:tc>
              <w:tc>
                <w:tcPr>
                  <w:tcW w:w="1307" w:type="dxa"/>
                  <w:vAlign w:val="center"/>
                </w:tcPr>
                <w:p w:rsidR="001D5280" w:rsidRPr="00557D3B"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557D3B">
                    <w:rPr>
                      <w:rFonts w:ascii="Times New Roman" w:hAnsi="Times New Roman" w:cs="Times New Roman"/>
                      <w:bCs/>
                      <w:color w:val="000000"/>
                      <w:sz w:val="16"/>
                      <w:szCs w:val="16"/>
                    </w:rPr>
                    <w:t>22.45%</w:t>
                  </w:r>
                </w:p>
              </w:tc>
            </w:tr>
          </w:tbl>
          <w:p w:rsidR="00CF648E" w:rsidRPr="00FA53D4" w:rsidRDefault="00CF648E" w:rsidP="0066444D">
            <w:pPr>
              <w:jc w:val="center"/>
              <w:rPr>
                <w:rFonts w:ascii="Times New Roman" w:eastAsia="Times New Roman" w:hAnsi="Times New Roman" w:cs="Times New Roman"/>
                <w:sz w:val="14"/>
                <w:szCs w:val="14"/>
              </w:rPr>
            </w:pPr>
          </w:p>
        </w:tc>
      </w:tr>
    </w:tbl>
    <w:p w:rsidR="00C84839" w:rsidRDefault="00CB6A6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5715</wp:posOffset>
                </wp:positionV>
                <wp:extent cx="6953250" cy="647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47700"/>
                        </a:xfrm>
                        <a:prstGeom prst="rect">
                          <a:avLst/>
                        </a:prstGeom>
                        <a:solidFill>
                          <a:srgbClr val="FFFFFF"/>
                        </a:solidFill>
                        <a:ln w="9525">
                          <a:solidFill>
                            <a:srgbClr val="0070C0"/>
                          </a:solidFill>
                          <a:miter lim="800000"/>
                          <a:headEnd/>
                          <a:tailEnd/>
                        </a:ln>
                      </wps:spPr>
                      <wps:txbx>
                        <w:txbxContent>
                          <w:p w:rsidR="0074250D" w:rsidRPr="00022FED" w:rsidRDefault="0074250D" w:rsidP="004332DD">
                            <w:pPr>
                              <w:spacing w:after="0" w:line="240" w:lineRule="auto"/>
                              <w:jc w:val="both"/>
                              <w:rPr>
                                <w:rFonts w:ascii="Times New Roman" w:hAnsi="Times New Roman" w:cs="Times New Roman"/>
                                <w:sz w:val="14"/>
                                <w:szCs w:val="16"/>
                              </w:rPr>
                            </w:pPr>
                            <w:r w:rsidRPr="00022FED">
                              <w:rPr>
                                <w:rFonts w:ascii="Times New Roman" w:hAnsi="Times New Roman" w:cs="Times New Roman"/>
                                <w:b/>
                                <w:sz w:val="14"/>
                                <w:szCs w:val="16"/>
                              </w:rPr>
                              <w:t xml:space="preserve">Disclaimer: </w:t>
                            </w:r>
                            <w:r w:rsidRPr="00022FED">
                              <w:rPr>
                                <w:rFonts w:ascii="Times New Roman" w:hAnsi="Times New Roman" w:cs="Times New Roman"/>
                                <w:sz w:val="14"/>
                                <w:szCs w:val="16"/>
                              </w:rPr>
                              <w:t>"</w:t>
                            </w:r>
                            <w:r w:rsidRPr="00022FED">
                              <w:rPr>
                                <w:rFonts w:ascii="Times New Roman" w:hAnsi="Times New Roman" w:cs="Times New Roman"/>
                                <w:b/>
                                <w:sz w:val="14"/>
                                <w:szCs w:val="16"/>
                              </w:rPr>
                              <w:t>VN30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VNMidcap</w:t>
                            </w:r>
                            <w:proofErr w:type="spellEnd"/>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VNSmallCap</w:t>
                            </w:r>
                            <w:proofErr w:type="spellEnd"/>
                            <w:r w:rsidRPr="00022FED">
                              <w:rPr>
                                <w:rFonts w:ascii="Times New Roman" w:hAnsi="Times New Roman" w:cs="Times New Roman"/>
                                <w:sz w:val="14"/>
                                <w:szCs w:val="16"/>
                              </w:rPr>
                              <w:t>", “</w:t>
                            </w:r>
                            <w:r w:rsidRPr="00022FED">
                              <w:rPr>
                                <w:rFonts w:ascii="Times New Roman" w:hAnsi="Times New Roman" w:cs="Times New Roman"/>
                                <w:b/>
                                <w:sz w:val="14"/>
                                <w:szCs w:val="16"/>
                              </w:rPr>
                              <w:t>VN100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sz w:val="14"/>
                                <w:szCs w:val="16"/>
                              </w:rPr>
                              <w:t>” and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b/>
                                <w:sz w:val="14"/>
                                <w:szCs w:val="16"/>
                              </w:rPr>
                              <w:t xml:space="preserve"> Sector</w:t>
                            </w:r>
                            <w:r w:rsidRPr="00022FED">
                              <w:rPr>
                                <w:rFonts w:ascii="Times New Roman" w:hAnsi="Times New Roman" w:cs="Times New Roman"/>
                                <w:sz w:val="14"/>
                                <w:szCs w:val="16"/>
                              </w:rPr>
                              <w:t>" (collectively called "</w:t>
                            </w:r>
                            <w:r w:rsidRPr="00022FED">
                              <w:rPr>
                                <w:rFonts w:ascii="Times New Roman" w:hAnsi="Times New Roman" w:cs="Times New Roman"/>
                                <w:b/>
                                <w:sz w:val="14"/>
                                <w:szCs w:val="16"/>
                              </w:rPr>
                              <w:t>HOSE-Index</w:t>
                            </w:r>
                            <w:r w:rsidRPr="00022FED">
                              <w:rPr>
                                <w:rFonts w:ascii="Times New Roman" w:hAnsi="Times New Roman" w:cs="Times New Roman"/>
                                <w:sz w:val="14"/>
                                <w:szCs w:val="16"/>
                              </w:rPr>
                              <w:t xml:space="preserve">") are the registered trademarks and/or service mark solely owned by, and proprietary to the </w:t>
                            </w:r>
                            <w:proofErr w:type="spellStart"/>
                            <w:r w:rsidRPr="00022FED">
                              <w:rPr>
                                <w:rFonts w:ascii="Times New Roman" w:hAnsi="Times New Roman" w:cs="Times New Roman"/>
                                <w:sz w:val="14"/>
                                <w:szCs w:val="16"/>
                              </w:rPr>
                              <w:t>Hochiminh</w:t>
                            </w:r>
                            <w:proofErr w:type="spellEnd"/>
                            <w:r w:rsidRPr="00022FED">
                              <w:rPr>
                                <w:rFonts w:ascii="Times New Roman" w:hAnsi="Times New Roman" w:cs="Times New Roman"/>
                                <w:sz w:val="14"/>
                                <w:szCs w:val="16"/>
                              </w:rPr>
                              <w:t xml:space="preserve"> Stock Exchange</w:t>
                            </w:r>
                            <w:r>
                              <w:rPr>
                                <w:rFonts w:ascii="Times New Roman" w:hAnsi="Times New Roman" w:cs="Times New Roman"/>
                                <w:sz w:val="14"/>
                                <w:szCs w:val="16"/>
                              </w:rPr>
                              <w:t xml:space="preserve"> (HOSE)</w:t>
                            </w:r>
                            <w:r w:rsidRPr="00022FED">
                              <w:rPr>
                                <w:rFonts w:ascii="Times New Roman" w:hAnsi="Times New Roman" w:cs="Times New Roman"/>
                                <w:sz w:val="14"/>
                                <w:szCs w:val="16"/>
                              </w:rPr>
                              <w:t xml:space="preserve">. HOSE-Index can be used to create a range of index-linked products including but not limited to tracker funds, derivatives, etc. Such product creation is subject to approval by HOSE. For more information, please contact via e-mail: </w:t>
                            </w:r>
                            <w:r w:rsidRPr="00022FED">
                              <w:rPr>
                                <w:rFonts w:ascii="Times New Roman" w:hAnsi="Times New Roman" w:cs="Times New Roman"/>
                                <w:i/>
                                <w:sz w:val="14"/>
                                <w:szCs w:val="16"/>
                              </w:rPr>
                              <w:t>index@hsx.vn</w:t>
                            </w:r>
                          </w:p>
                          <w:p w:rsidR="0074250D" w:rsidRPr="00022FED" w:rsidRDefault="0074250D" w:rsidP="004332DD">
                            <w:pPr>
                              <w:spacing w:after="0" w:line="240" w:lineRule="auto"/>
                              <w:jc w:val="both"/>
                              <w:rPr>
                                <w:rFonts w:ascii="Times New Roman" w:hAnsi="Times New Roman" w:cs="Times New Roman"/>
                                <w:sz w:val="14"/>
                                <w:szCs w:val="16"/>
                              </w:rPr>
                            </w:pPr>
                            <w:r w:rsidRPr="00022FED">
                              <w:rPr>
                                <w:rFonts w:ascii="Times New Roman" w:hAnsi="Times New Roman" w:cs="Times New Roman"/>
                                <w:sz w:val="14"/>
                                <w:szCs w:val="16"/>
                              </w:rPr>
                              <w:t>All information is provided for information purposes only. Every effort is made to ensure that all information given in this publication is accurate, but no responsibility or liability can be accepted by HOSE nor its</w:t>
                            </w:r>
                            <w:r w:rsidRPr="00022FED">
                              <w:rPr>
                                <w:rFonts w:ascii="Times New Roman" w:hAnsi="Times New Roman" w:cs="Times New Roman"/>
                              </w:rPr>
                              <w:t xml:space="preserve"> </w:t>
                            </w:r>
                            <w:r w:rsidRPr="00022FED">
                              <w:rPr>
                                <w:rFonts w:ascii="Times New Roman" w:hAnsi="Times New Roman" w:cs="Times New Roman"/>
                                <w:sz w:val="14"/>
                                <w:szCs w:val="16"/>
                              </w:rPr>
                              <w:t>directors, officers, employees, partners or licensors for any errors or for any loss from use of this publication or any of the information or data contained herein.</w:t>
                            </w:r>
                          </w:p>
                          <w:p w:rsidR="0074250D" w:rsidRPr="00022FED" w:rsidRDefault="0074250D" w:rsidP="004332DD">
                            <w:pPr>
                              <w:spacing w:line="240" w:lineRule="auto"/>
                              <w:jc w:val="both"/>
                              <w:rPr>
                                <w:rFonts w:ascii="Times New Roman" w:hAnsi="Times New Roman" w:cs="Times New Roman"/>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45pt;width:54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" strokecolor="#0070c0">
                <v:textbox>
                  <w:txbxContent>
                    <w:p w:rsidR="0074250D" w:rsidRPr="00022FED" w:rsidRDefault="0074250D" w:rsidP="004332DD">
                      <w:pPr>
                        <w:spacing w:after="0" w:line="240" w:lineRule="auto"/>
                        <w:jc w:val="both"/>
                        <w:rPr>
                          <w:rFonts w:ascii="Times New Roman" w:hAnsi="Times New Roman" w:cs="Times New Roman"/>
                          <w:sz w:val="14"/>
                          <w:szCs w:val="16"/>
                        </w:rPr>
                      </w:pPr>
                      <w:r w:rsidRPr="00022FED">
                        <w:rPr>
                          <w:rFonts w:ascii="Times New Roman" w:hAnsi="Times New Roman" w:cs="Times New Roman"/>
                          <w:b/>
                          <w:sz w:val="14"/>
                          <w:szCs w:val="16"/>
                        </w:rPr>
                        <w:t xml:space="preserve">Disclaimer: </w:t>
                      </w:r>
                      <w:r w:rsidRPr="00022FED">
                        <w:rPr>
                          <w:rFonts w:ascii="Times New Roman" w:hAnsi="Times New Roman" w:cs="Times New Roman"/>
                          <w:sz w:val="14"/>
                          <w:szCs w:val="16"/>
                        </w:rPr>
                        <w:t>"</w:t>
                      </w:r>
                      <w:r w:rsidRPr="00022FED">
                        <w:rPr>
                          <w:rFonts w:ascii="Times New Roman" w:hAnsi="Times New Roman" w:cs="Times New Roman"/>
                          <w:b/>
                          <w:sz w:val="14"/>
                          <w:szCs w:val="16"/>
                        </w:rPr>
                        <w:t>VN30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VNMidcap</w:t>
                      </w:r>
                      <w:proofErr w:type="spellEnd"/>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VNSmallCap</w:t>
                      </w:r>
                      <w:proofErr w:type="spellEnd"/>
                      <w:r w:rsidRPr="00022FED">
                        <w:rPr>
                          <w:rFonts w:ascii="Times New Roman" w:hAnsi="Times New Roman" w:cs="Times New Roman"/>
                          <w:sz w:val="14"/>
                          <w:szCs w:val="16"/>
                        </w:rPr>
                        <w:t>", “</w:t>
                      </w:r>
                      <w:r w:rsidRPr="00022FED">
                        <w:rPr>
                          <w:rFonts w:ascii="Times New Roman" w:hAnsi="Times New Roman" w:cs="Times New Roman"/>
                          <w:b/>
                          <w:sz w:val="14"/>
                          <w:szCs w:val="16"/>
                        </w:rPr>
                        <w:t>VN100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sz w:val="14"/>
                          <w:szCs w:val="16"/>
                        </w:rPr>
                        <w:t>” and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b/>
                          <w:sz w:val="14"/>
                          <w:szCs w:val="16"/>
                        </w:rPr>
                        <w:t xml:space="preserve"> Sector</w:t>
                      </w:r>
                      <w:r w:rsidRPr="00022FED">
                        <w:rPr>
                          <w:rFonts w:ascii="Times New Roman" w:hAnsi="Times New Roman" w:cs="Times New Roman"/>
                          <w:sz w:val="14"/>
                          <w:szCs w:val="16"/>
                        </w:rPr>
                        <w:t>" (collectively called "</w:t>
                      </w:r>
                      <w:r w:rsidRPr="00022FED">
                        <w:rPr>
                          <w:rFonts w:ascii="Times New Roman" w:hAnsi="Times New Roman" w:cs="Times New Roman"/>
                          <w:b/>
                          <w:sz w:val="14"/>
                          <w:szCs w:val="16"/>
                        </w:rPr>
                        <w:t>HOSE-Index</w:t>
                      </w:r>
                      <w:r w:rsidRPr="00022FED">
                        <w:rPr>
                          <w:rFonts w:ascii="Times New Roman" w:hAnsi="Times New Roman" w:cs="Times New Roman"/>
                          <w:sz w:val="14"/>
                          <w:szCs w:val="16"/>
                        </w:rPr>
                        <w:t xml:space="preserve">") are the registered trademarks and/or service mark solely owned by, and proprietary to the </w:t>
                      </w:r>
                      <w:proofErr w:type="spellStart"/>
                      <w:r w:rsidRPr="00022FED">
                        <w:rPr>
                          <w:rFonts w:ascii="Times New Roman" w:hAnsi="Times New Roman" w:cs="Times New Roman"/>
                          <w:sz w:val="14"/>
                          <w:szCs w:val="16"/>
                        </w:rPr>
                        <w:t>Hochiminh</w:t>
                      </w:r>
                      <w:proofErr w:type="spellEnd"/>
                      <w:r w:rsidRPr="00022FED">
                        <w:rPr>
                          <w:rFonts w:ascii="Times New Roman" w:hAnsi="Times New Roman" w:cs="Times New Roman"/>
                          <w:sz w:val="14"/>
                          <w:szCs w:val="16"/>
                        </w:rPr>
                        <w:t xml:space="preserve"> Stock Exchange</w:t>
                      </w:r>
                      <w:r>
                        <w:rPr>
                          <w:rFonts w:ascii="Times New Roman" w:hAnsi="Times New Roman" w:cs="Times New Roman"/>
                          <w:sz w:val="14"/>
                          <w:szCs w:val="16"/>
                        </w:rPr>
                        <w:t xml:space="preserve"> (HOSE)</w:t>
                      </w:r>
                      <w:r w:rsidRPr="00022FED">
                        <w:rPr>
                          <w:rFonts w:ascii="Times New Roman" w:hAnsi="Times New Roman" w:cs="Times New Roman"/>
                          <w:sz w:val="14"/>
                          <w:szCs w:val="16"/>
                        </w:rPr>
                        <w:t xml:space="preserve">. HOSE-Index can be used to create a range of index-linked products including but not limited to tracker funds, derivatives, etc. Such product creation is subject to approval by HOSE. For more information, please contact via e-mail: </w:t>
                      </w:r>
                      <w:r w:rsidRPr="00022FED">
                        <w:rPr>
                          <w:rFonts w:ascii="Times New Roman" w:hAnsi="Times New Roman" w:cs="Times New Roman"/>
                          <w:i/>
                          <w:sz w:val="14"/>
                          <w:szCs w:val="16"/>
                        </w:rPr>
                        <w:t>index@hsx.vn</w:t>
                      </w:r>
                    </w:p>
                    <w:p w:rsidR="0074250D" w:rsidRPr="00022FED" w:rsidRDefault="0074250D" w:rsidP="004332DD">
                      <w:pPr>
                        <w:spacing w:after="0" w:line="240" w:lineRule="auto"/>
                        <w:jc w:val="both"/>
                        <w:rPr>
                          <w:rFonts w:ascii="Times New Roman" w:hAnsi="Times New Roman" w:cs="Times New Roman"/>
                          <w:sz w:val="14"/>
                          <w:szCs w:val="16"/>
                        </w:rPr>
                      </w:pPr>
                      <w:r w:rsidRPr="00022FED">
                        <w:rPr>
                          <w:rFonts w:ascii="Times New Roman" w:hAnsi="Times New Roman" w:cs="Times New Roman"/>
                          <w:sz w:val="14"/>
                          <w:szCs w:val="16"/>
                        </w:rPr>
                        <w:t>All information is provided for information purposes only. Every effort is made to ensure that all information given in this publication is accurate, but no responsibility or liability can be accepted by HOSE nor its</w:t>
                      </w:r>
                      <w:r w:rsidRPr="00022FED">
                        <w:rPr>
                          <w:rFonts w:ascii="Times New Roman" w:hAnsi="Times New Roman" w:cs="Times New Roman"/>
                        </w:rPr>
                        <w:t xml:space="preserve"> </w:t>
                      </w:r>
                      <w:r w:rsidRPr="00022FED">
                        <w:rPr>
                          <w:rFonts w:ascii="Times New Roman" w:hAnsi="Times New Roman" w:cs="Times New Roman"/>
                          <w:sz w:val="14"/>
                          <w:szCs w:val="16"/>
                        </w:rPr>
                        <w:t>directors, officers, employees, partners or licensors for any errors or for any loss from use of this publication or any of the information or data contained herein.</w:t>
                      </w:r>
                    </w:p>
                    <w:p w:rsidR="0074250D" w:rsidRPr="00022FED" w:rsidRDefault="0074250D" w:rsidP="004332DD">
                      <w:pPr>
                        <w:spacing w:line="240" w:lineRule="auto"/>
                        <w:jc w:val="both"/>
                        <w:rPr>
                          <w:rFonts w:ascii="Times New Roman" w:hAnsi="Times New Roman" w:cs="Times New Roman"/>
                          <w:szCs w:val="16"/>
                        </w:rPr>
                      </w:pPr>
                    </w:p>
                  </w:txbxContent>
                </v:textbox>
              </v:shape>
            </w:pict>
          </mc:Fallback>
        </mc:AlternateContent>
      </w:r>
    </w:p>
    <w:p w:rsidR="00921CCB" w:rsidRDefault="00921CCB"/>
    <w:tbl>
      <w:tblPr>
        <w:tblStyle w:val="TableGrid"/>
        <w:tblW w:w="112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5455"/>
        <w:gridCol w:w="120"/>
        <w:gridCol w:w="88"/>
        <w:gridCol w:w="113"/>
        <w:gridCol w:w="49"/>
        <w:gridCol w:w="3081"/>
        <w:gridCol w:w="2249"/>
        <w:gridCol w:w="57"/>
        <w:gridCol w:w="49"/>
      </w:tblGrid>
      <w:tr w:rsidR="000301F7" w:rsidRPr="006D2F55" w:rsidTr="00474BB6">
        <w:trPr>
          <w:gridAfter w:val="1"/>
          <w:wAfter w:w="49" w:type="dxa"/>
          <w:trHeight w:val="710"/>
          <w:jc w:val="center"/>
        </w:trPr>
        <w:tc>
          <w:tcPr>
            <w:tcW w:w="8906" w:type="dxa"/>
            <w:gridSpan w:val="6"/>
            <w:shd w:val="clear" w:color="auto" w:fill="0070C0"/>
            <w:vAlign w:val="center"/>
          </w:tcPr>
          <w:p w:rsidR="000301F7" w:rsidRPr="006D2F55" w:rsidRDefault="000301F7" w:rsidP="00F26A05">
            <w:pPr>
              <w:rPr>
                <w:rFonts w:ascii="Times New Roman" w:hAnsi="Times New Roman" w:cs="Times New Roman"/>
                <w:b/>
                <w:color w:val="FFFFFF" w:themeColor="background1"/>
                <w:sz w:val="52"/>
                <w:szCs w:val="52"/>
              </w:rPr>
            </w:pPr>
            <w:proofErr w:type="spellStart"/>
            <w:r>
              <w:rPr>
                <w:rFonts w:ascii="Times New Roman" w:hAnsi="Times New Roman" w:cs="Times New Roman"/>
                <w:b/>
                <w:color w:val="FFFFFF" w:themeColor="background1"/>
                <w:sz w:val="44"/>
                <w:szCs w:val="52"/>
              </w:rPr>
              <w:lastRenderedPageBreak/>
              <w:t>VNAllshare</w:t>
            </w:r>
            <w:proofErr w:type="spellEnd"/>
            <w:r>
              <w:rPr>
                <w:rFonts w:ascii="Times New Roman" w:hAnsi="Times New Roman" w:cs="Times New Roman"/>
                <w:b/>
                <w:color w:val="FFFFFF" w:themeColor="background1"/>
                <w:sz w:val="44"/>
                <w:szCs w:val="52"/>
              </w:rPr>
              <w:t xml:space="preserve"> Index</w:t>
            </w:r>
          </w:p>
        </w:tc>
        <w:tc>
          <w:tcPr>
            <w:tcW w:w="2306" w:type="dxa"/>
            <w:gridSpan w:val="2"/>
            <w:shd w:val="clear" w:color="auto" w:fill="0070C0"/>
            <w:vAlign w:val="bottom"/>
          </w:tcPr>
          <w:p w:rsidR="000301F7" w:rsidRPr="00D6169B" w:rsidRDefault="000301F7" w:rsidP="004967D6">
            <w:pPr>
              <w:spacing w:after="120"/>
              <w:jc w:val="right"/>
              <w:rPr>
                <w:rFonts w:ascii="Times New Roman" w:eastAsia="Times New Roman" w:hAnsi="Times New Roman" w:cs="Times New Roman"/>
                <w:b/>
                <w:color w:val="FFFFFF" w:themeColor="background1"/>
                <w:sz w:val="18"/>
                <w:szCs w:val="18"/>
              </w:rPr>
            </w:pPr>
            <w:r w:rsidRPr="00D6169B">
              <w:rPr>
                <w:rFonts w:ascii="Times New Roman" w:eastAsia="Times New Roman" w:hAnsi="Times New Roman" w:cs="Times New Roman"/>
                <w:b/>
                <w:color w:val="FFFFFF" w:themeColor="background1"/>
                <w:sz w:val="18"/>
                <w:szCs w:val="18"/>
              </w:rPr>
              <w:t xml:space="preserve">Data as at: </w:t>
            </w:r>
            <w:r w:rsidR="001D5280">
              <w:rPr>
                <w:rFonts w:ascii="Times New Roman" w:eastAsia="Times New Roman" w:hAnsi="Times New Roman" w:cs="Times New Roman"/>
                <w:b/>
                <w:color w:val="FFFFFF" w:themeColor="background1"/>
                <w:sz w:val="18"/>
                <w:szCs w:val="18"/>
              </w:rPr>
              <w:t>31</w:t>
            </w:r>
            <w:r>
              <w:rPr>
                <w:rFonts w:ascii="Times New Roman" w:eastAsia="Times New Roman" w:hAnsi="Times New Roman" w:cs="Times New Roman"/>
                <w:b/>
                <w:color w:val="FFFFFF" w:themeColor="background1"/>
                <w:sz w:val="18"/>
                <w:szCs w:val="18"/>
              </w:rPr>
              <w:t xml:space="preserve"> </w:t>
            </w:r>
            <w:r w:rsidR="001D5280">
              <w:rPr>
                <w:rFonts w:ascii="Times New Roman" w:eastAsia="Times New Roman" w:hAnsi="Times New Roman" w:cs="Times New Roman"/>
                <w:b/>
                <w:color w:val="FFFFFF" w:themeColor="background1"/>
                <w:sz w:val="18"/>
                <w:szCs w:val="18"/>
              </w:rPr>
              <w:t>May</w:t>
            </w:r>
            <w:r>
              <w:rPr>
                <w:rFonts w:ascii="Times New Roman" w:eastAsia="Times New Roman" w:hAnsi="Times New Roman" w:cs="Times New Roman"/>
                <w:b/>
                <w:color w:val="FFFFFF" w:themeColor="background1"/>
                <w:sz w:val="18"/>
                <w:szCs w:val="18"/>
              </w:rPr>
              <w:t xml:space="preserve"> 201</w:t>
            </w:r>
            <w:r w:rsidR="002233E1">
              <w:rPr>
                <w:rFonts w:ascii="Times New Roman" w:eastAsia="Times New Roman" w:hAnsi="Times New Roman" w:cs="Times New Roman"/>
                <w:b/>
                <w:color w:val="FFFFFF" w:themeColor="background1"/>
                <w:sz w:val="18"/>
                <w:szCs w:val="18"/>
              </w:rPr>
              <w:t>9</w:t>
            </w:r>
          </w:p>
        </w:tc>
      </w:tr>
      <w:tr w:rsidR="00FD097B" w:rsidRPr="006D2F55" w:rsidTr="00474BB6">
        <w:trPr>
          <w:gridAfter w:val="1"/>
          <w:wAfter w:w="49" w:type="dxa"/>
          <w:trHeight w:hRule="exact" w:val="447"/>
          <w:jc w:val="center"/>
        </w:trPr>
        <w:tc>
          <w:tcPr>
            <w:tcW w:w="11212" w:type="dxa"/>
            <w:gridSpan w:val="8"/>
            <w:vAlign w:val="center"/>
          </w:tcPr>
          <w:p w:rsidR="00FD097B" w:rsidRPr="00F26A05" w:rsidRDefault="00F26A05" w:rsidP="00F26A05">
            <w:pPr>
              <w:spacing w:before="60"/>
              <w:jc w:val="both"/>
              <w:rPr>
                <w:rFonts w:ascii="Times New Roman" w:hAnsi="Times New Roman" w:cs="Times New Roman"/>
                <w:b/>
                <w:sz w:val="16"/>
                <w:szCs w:val="16"/>
              </w:rPr>
            </w:pPr>
            <w:proofErr w:type="spellStart"/>
            <w:r w:rsidRPr="001704E5">
              <w:rPr>
                <w:rFonts w:ascii="Times New Roman" w:hAnsi="Times New Roman" w:cs="Times New Roman"/>
                <w:b/>
                <w:sz w:val="16"/>
                <w:szCs w:val="16"/>
              </w:rPr>
              <w:t>VNAllshare</w:t>
            </w:r>
            <w:proofErr w:type="spellEnd"/>
            <w:r w:rsidRPr="001704E5">
              <w:rPr>
                <w:rFonts w:ascii="Times New Roman" w:hAnsi="Times New Roman" w:cs="Times New Roman"/>
                <w:b/>
                <w:sz w:val="16"/>
                <w:szCs w:val="16"/>
              </w:rPr>
              <w:t xml:space="preserve"> </w:t>
            </w:r>
            <w:r w:rsidRPr="001704E5">
              <w:rPr>
                <w:rFonts w:ascii="Times New Roman" w:hAnsi="Times New Roman" w:cs="Times New Roman"/>
                <w:sz w:val="16"/>
                <w:szCs w:val="16"/>
              </w:rPr>
              <w:t>is a market-capitalization weighted index comprises all HOSE-listed companies that pass</w:t>
            </w:r>
            <w:r>
              <w:rPr>
                <w:rFonts w:ascii="Times New Roman" w:hAnsi="Times New Roman" w:cs="Times New Roman"/>
                <w:sz w:val="16"/>
                <w:szCs w:val="16"/>
              </w:rPr>
              <w:t>ed</w:t>
            </w:r>
            <w:r w:rsidRPr="001704E5">
              <w:rPr>
                <w:rFonts w:ascii="Times New Roman" w:hAnsi="Times New Roman" w:cs="Times New Roman"/>
                <w:sz w:val="16"/>
                <w:szCs w:val="16"/>
              </w:rPr>
              <w:t xml:space="preserve"> </w:t>
            </w:r>
            <w:r>
              <w:rPr>
                <w:rFonts w:ascii="Times New Roman" w:hAnsi="Times New Roman" w:cs="Times New Roman"/>
                <w:sz w:val="16"/>
                <w:szCs w:val="16"/>
              </w:rPr>
              <w:t>screening for eligibility, free-</w:t>
            </w:r>
            <w:r w:rsidRPr="001704E5">
              <w:rPr>
                <w:rFonts w:ascii="Times New Roman" w:hAnsi="Times New Roman" w:cs="Times New Roman"/>
                <w:sz w:val="16"/>
                <w:szCs w:val="16"/>
              </w:rPr>
              <w:t>float and liquidity.</w:t>
            </w:r>
          </w:p>
        </w:tc>
      </w:tr>
      <w:tr w:rsidR="001C201D" w:rsidRPr="006D2F55" w:rsidTr="00474BB6">
        <w:trPr>
          <w:gridAfter w:val="1"/>
          <w:wAfter w:w="49" w:type="dxa"/>
          <w:trHeight w:hRule="exact" w:val="302"/>
          <w:jc w:val="center"/>
        </w:trPr>
        <w:tc>
          <w:tcPr>
            <w:tcW w:w="5455" w:type="dxa"/>
            <w:shd w:val="clear" w:color="auto" w:fill="0070C0"/>
            <w:vAlign w:val="center"/>
          </w:tcPr>
          <w:p w:rsidR="00FD097B" w:rsidRPr="006D2F55" w:rsidRDefault="00F26A05" w:rsidP="00BC4093">
            <w:pPr>
              <w:tabs>
                <w:tab w:val="center" w:pos="2700"/>
                <w:tab w:val="left" w:pos="4236"/>
              </w:tabs>
              <w:rPr>
                <w:rFonts w:ascii="Times New Roman" w:hAnsi="Times New Roman" w:cs="Times New Roman"/>
              </w:rPr>
            </w:pPr>
            <w:r>
              <w:rPr>
                <w:rFonts w:ascii="Times New Roman" w:hAnsi="Times New Roman" w:cs="Times New Roman"/>
                <w:b/>
                <w:color w:val="FFFFFF" w:themeColor="background1"/>
              </w:rPr>
              <w:t>Index Characteristics</w:t>
            </w:r>
          </w:p>
        </w:tc>
        <w:tc>
          <w:tcPr>
            <w:tcW w:w="321" w:type="dxa"/>
            <w:gridSpan w:val="3"/>
            <w:shd w:val="clear" w:color="auto" w:fill="auto"/>
            <w:vAlign w:val="center"/>
          </w:tcPr>
          <w:p w:rsidR="00FD097B" w:rsidRPr="006D2F55" w:rsidRDefault="00FD097B" w:rsidP="00BC4093">
            <w:pPr>
              <w:jc w:val="center"/>
              <w:rPr>
                <w:rFonts w:ascii="Times New Roman" w:hAnsi="Times New Roman" w:cs="Times New Roman"/>
              </w:rPr>
            </w:pPr>
          </w:p>
        </w:tc>
        <w:tc>
          <w:tcPr>
            <w:tcW w:w="5436" w:type="dxa"/>
            <w:gridSpan w:val="4"/>
            <w:shd w:val="clear" w:color="auto" w:fill="0070C0"/>
            <w:vAlign w:val="center"/>
          </w:tcPr>
          <w:p w:rsidR="00FD097B" w:rsidRPr="006D2F55" w:rsidRDefault="00F26A05" w:rsidP="00BC4093">
            <w:pPr>
              <w:rPr>
                <w:rFonts w:ascii="Times New Roman" w:hAnsi="Times New Roman" w:cs="Times New Roman"/>
                <w:b/>
                <w:color w:val="FFFFFF" w:themeColor="background1"/>
              </w:rPr>
            </w:pPr>
            <w:r>
              <w:rPr>
                <w:rFonts w:ascii="Times New Roman" w:hAnsi="Times New Roman" w:cs="Times New Roman"/>
                <w:b/>
                <w:color w:val="FFFFFF" w:themeColor="background1"/>
              </w:rPr>
              <w:t>Information</w:t>
            </w:r>
          </w:p>
        </w:tc>
      </w:tr>
      <w:tr w:rsidR="004E1251" w:rsidRPr="006D2F55" w:rsidTr="00474BB6">
        <w:trPr>
          <w:gridAfter w:val="1"/>
          <w:wAfter w:w="49" w:type="dxa"/>
          <w:trHeight w:hRule="exact" w:val="2134"/>
          <w:jc w:val="center"/>
        </w:trPr>
        <w:tc>
          <w:tcPr>
            <w:tcW w:w="5776" w:type="dxa"/>
            <w:gridSpan w:val="4"/>
          </w:tcPr>
          <w:tbl>
            <w:tblPr>
              <w:tblStyle w:val="LightList-Accent5"/>
              <w:tblpPr w:leftFromText="180" w:rightFromText="180" w:vertAnchor="page" w:horzAnchor="margin" w:tblpXSpec="center" w:tblpY="1"/>
              <w:tblOverlap w:val="never"/>
              <w:tblW w:w="19005" w:type="dxa"/>
              <w:tblBorders>
                <w:top w:val="single" w:sz="8" w:space="0" w:color="0070C0"/>
                <w:left w:val="none" w:sz="0" w:space="0" w:color="auto"/>
                <w:bottom w:val="single" w:sz="8" w:space="0" w:color="0070C0"/>
                <w:right w:val="none" w:sz="0" w:space="0" w:color="auto"/>
                <w:insideH w:val="single" w:sz="8" w:space="0" w:color="0070C0"/>
              </w:tblBorders>
              <w:tblLayout w:type="fixed"/>
              <w:tblLook w:val="04A0" w:firstRow="1" w:lastRow="0" w:firstColumn="1" w:lastColumn="0" w:noHBand="0" w:noVBand="1"/>
            </w:tblPr>
            <w:tblGrid>
              <w:gridCol w:w="4475"/>
              <w:gridCol w:w="1285"/>
              <w:gridCol w:w="1285"/>
              <w:gridCol w:w="1285"/>
              <w:gridCol w:w="1285"/>
              <w:gridCol w:w="1285"/>
              <w:gridCol w:w="1285"/>
              <w:gridCol w:w="1705"/>
              <w:gridCol w:w="1705"/>
              <w:gridCol w:w="1705"/>
              <w:gridCol w:w="1705"/>
            </w:tblGrid>
            <w:tr w:rsidR="001D5280" w:rsidRPr="00301A9C" w:rsidTr="00DF71CE">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1D5280" w:rsidRPr="00F26A05" w:rsidRDefault="001D5280" w:rsidP="001D5280">
                  <w:pPr>
                    <w:rPr>
                      <w:rFonts w:ascii="Times New Roman" w:eastAsia="Times New Roman" w:hAnsi="Times New Roman" w:cs="Times New Roman"/>
                      <w:color w:val="auto"/>
                      <w:sz w:val="16"/>
                      <w:szCs w:val="16"/>
                    </w:rPr>
                  </w:pPr>
                  <w:r w:rsidRPr="00F26A05">
                    <w:rPr>
                      <w:rFonts w:ascii="Times New Roman" w:eastAsia="Times New Roman" w:hAnsi="Times New Roman" w:cs="Times New Roman"/>
                      <w:color w:val="auto"/>
                      <w:sz w:val="16"/>
                      <w:szCs w:val="16"/>
                    </w:rPr>
                    <w:t>Number of Constituents</w:t>
                  </w:r>
                </w:p>
              </w:tc>
              <w:tc>
                <w:tcPr>
                  <w:tcW w:w="1285" w:type="dxa"/>
                  <w:vAlign w:val="bottom"/>
                </w:tcPr>
                <w:p w:rsidR="001D5280" w:rsidRPr="00C65498" w:rsidRDefault="001D5280" w:rsidP="001D52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16"/>
                      <w:szCs w:val="16"/>
                    </w:rPr>
                  </w:pPr>
                  <w:r w:rsidRPr="00C65498">
                    <w:rPr>
                      <w:rFonts w:ascii="Times New Roman" w:hAnsi="Times New Roman" w:cs="Times New Roman"/>
                      <w:bCs w:val="0"/>
                      <w:color w:val="000000"/>
                      <w:sz w:val="16"/>
                      <w:szCs w:val="16"/>
                    </w:rPr>
                    <w:t>249</w:t>
                  </w:r>
                </w:p>
              </w:tc>
              <w:tc>
                <w:tcPr>
                  <w:tcW w:w="1285" w:type="dxa"/>
                  <w:shd w:val="clear" w:color="auto" w:fill="auto"/>
                  <w:vAlign w:val="bottom"/>
                </w:tcPr>
                <w:p w:rsidR="001D5280" w:rsidRPr="00B3732D" w:rsidRDefault="001D5280" w:rsidP="001D52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3732D">
                    <w:rPr>
                      <w:rFonts w:ascii="Times New Roman" w:hAnsi="Times New Roman" w:cs="Times New Roman"/>
                      <w:color w:val="000000"/>
                      <w:sz w:val="16"/>
                      <w:szCs w:val="16"/>
                    </w:rPr>
                    <w:t>252</w:t>
                  </w:r>
                </w:p>
              </w:tc>
              <w:tc>
                <w:tcPr>
                  <w:tcW w:w="1285" w:type="dxa"/>
                  <w:shd w:val="clear" w:color="auto" w:fill="auto"/>
                </w:tcPr>
                <w:p w:rsidR="001D5280" w:rsidRDefault="001D5280" w:rsidP="001D52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252</w:t>
                  </w:r>
                </w:p>
              </w:tc>
              <w:tc>
                <w:tcPr>
                  <w:tcW w:w="1285" w:type="dxa"/>
                  <w:shd w:val="clear" w:color="auto" w:fill="auto"/>
                </w:tcPr>
                <w:p w:rsidR="001D5280" w:rsidRDefault="001D5280" w:rsidP="001D52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243</w:t>
                  </w:r>
                </w:p>
              </w:tc>
              <w:tc>
                <w:tcPr>
                  <w:tcW w:w="1285" w:type="dxa"/>
                  <w:shd w:val="clear" w:color="auto" w:fill="auto"/>
                  <w:vAlign w:val="center"/>
                </w:tcPr>
                <w:p w:rsidR="001D5280" w:rsidRDefault="001D5280" w:rsidP="001D52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228</w:t>
                  </w:r>
                </w:p>
              </w:tc>
              <w:tc>
                <w:tcPr>
                  <w:tcW w:w="1285" w:type="dxa"/>
                  <w:shd w:val="clear" w:color="auto" w:fill="auto"/>
                  <w:vAlign w:val="center"/>
                </w:tcPr>
                <w:p w:rsidR="001D5280" w:rsidRDefault="001D5280" w:rsidP="001D52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234</w:t>
                  </w:r>
                </w:p>
              </w:tc>
              <w:tc>
                <w:tcPr>
                  <w:tcW w:w="1705" w:type="dxa"/>
                  <w:shd w:val="clear" w:color="auto" w:fill="auto"/>
                </w:tcPr>
                <w:p w:rsidR="001D5280" w:rsidRPr="003327A6" w:rsidRDefault="001D5280" w:rsidP="001D52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3327A6">
                    <w:rPr>
                      <w:rFonts w:ascii="Times New Roman" w:hAnsi="Times New Roman" w:cs="Times New Roman"/>
                      <w:b w:val="0"/>
                      <w:color w:val="000000"/>
                      <w:sz w:val="16"/>
                      <w:szCs w:val="16"/>
                    </w:rPr>
                    <w:t>222</w:t>
                  </w:r>
                </w:p>
              </w:tc>
              <w:tc>
                <w:tcPr>
                  <w:tcW w:w="1705" w:type="dxa"/>
                  <w:shd w:val="clear" w:color="auto" w:fill="auto"/>
                  <w:vAlign w:val="center"/>
                </w:tcPr>
                <w:p w:rsidR="001D5280" w:rsidRPr="00566960" w:rsidRDefault="001D5280" w:rsidP="001D52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566960">
                    <w:rPr>
                      <w:rFonts w:ascii="Times New Roman" w:hAnsi="Times New Roman" w:cs="Times New Roman"/>
                      <w:b w:val="0"/>
                      <w:color w:val="000000"/>
                      <w:sz w:val="16"/>
                      <w:szCs w:val="16"/>
                    </w:rPr>
                    <w:t>223</w:t>
                  </w:r>
                </w:p>
              </w:tc>
              <w:tc>
                <w:tcPr>
                  <w:tcW w:w="1705" w:type="dxa"/>
                  <w:shd w:val="clear" w:color="auto" w:fill="auto"/>
                  <w:vAlign w:val="center"/>
                </w:tcPr>
                <w:p w:rsidR="001D5280" w:rsidRPr="004C1E0F" w:rsidRDefault="001D5280" w:rsidP="001D52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4C1E0F">
                    <w:rPr>
                      <w:rFonts w:ascii="Times New Roman" w:hAnsi="Times New Roman" w:cs="Times New Roman"/>
                      <w:b w:val="0"/>
                      <w:color w:val="000000"/>
                      <w:sz w:val="16"/>
                      <w:szCs w:val="16"/>
                    </w:rPr>
                    <w:t>242</w:t>
                  </w:r>
                </w:p>
              </w:tc>
              <w:tc>
                <w:tcPr>
                  <w:tcW w:w="1705" w:type="dxa"/>
                  <w:shd w:val="clear" w:color="auto" w:fill="auto"/>
                  <w:vAlign w:val="center"/>
                </w:tcPr>
                <w:p w:rsidR="001D5280" w:rsidRPr="00C30FA9" w:rsidRDefault="001D5280" w:rsidP="001D52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C30FA9">
                    <w:rPr>
                      <w:rFonts w:ascii="Times New Roman" w:hAnsi="Times New Roman" w:cs="Times New Roman"/>
                      <w:b w:val="0"/>
                      <w:color w:val="000000"/>
                      <w:sz w:val="16"/>
                      <w:szCs w:val="16"/>
                    </w:rPr>
                    <w:t>242</w:t>
                  </w:r>
                </w:p>
              </w:tc>
            </w:tr>
            <w:tr w:rsidR="001D5280" w:rsidRPr="00301A9C" w:rsidTr="00DF71CE">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1D5280" w:rsidRPr="00F26A05" w:rsidRDefault="001D5280" w:rsidP="001D5280">
                  <w:pPr>
                    <w:rPr>
                      <w:rFonts w:ascii="Times New Roman" w:eastAsia="Times New Roman" w:hAnsi="Times New Roman" w:cs="Times New Roman"/>
                      <w:b w:val="0"/>
                      <w:sz w:val="16"/>
                      <w:szCs w:val="16"/>
                    </w:rPr>
                  </w:pPr>
                  <w:r w:rsidRPr="00F26A05">
                    <w:rPr>
                      <w:rFonts w:ascii="Times New Roman" w:eastAsia="Times New Roman" w:hAnsi="Times New Roman" w:cs="Times New Roman"/>
                      <w:sz w:val="16"/>
                      <w:szCs w:val="16"/>
                    </w:rPr>
                    <w:t xml:space="preserve">Full Market-Capitalization </w:t>
                  </w:r>
                  <w:r w:rsidRPr="006235F1">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Billion </w:t>
                  </w:r>
                  <w:r w:rsidRPr="006235F1">
                    <w:rPr>
                      <w:rFonts w:ascii="Times New Roman" w:eastAsia="Times New Roman" w:hAnsi="Times New Roman" w:cs="Times New Roman"/>
                      <w:sz w:val="16"/>
                      <w:szCs w:val="16"/>
                    </w:rPr>
                    <w:t>VND)</w:t>
                  </w:r>
                </w:p>
              </w:tc>
              <w:tc>
                <w:tcPr>
                  <w:tcW w:w="1285" w:type="dxa"/>
                  <w:vAlign w:val="bottom"/>
                </w:tcPr>
                <w:p w:rsidR="001D5280" w:rsidRPr="00C65498"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C65498">
                    <w:rPr>
                      <w:rFonts w:ascii="Times New Roman" w:hAnsi="Times New Roman" w:cs="Times New Roman"/>
                      <w:bCs/>
                      <w:color w:val="000000"/>
                      <w:sz w:val="16"/>
                      <w:szCs w:val="16"/>
                    </w:rPr>
                    <w:t>2,735,831</w:t>
                  </w:r>
                </w:p>
              </w:tc>
              <w:tc>
                <w:tcPr>
                  <w:tcW w:w="1285" w:type="dxa"/>
                  <w:shd w:val="clear" w:color="auto" w:fill="auto"/>
                  <w:vAlign w:val="bottom"/>
                </w:tcPr>
                <w:p w:rsidR="001D5280" w:rsidRPr="00E36F05"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2,792,228</w:t>
                  </w:r>
                </w:p>
              </w:tc>
              <w:tc>
                <w:tcPr>
                  <w:tcW w:w="1285" w:type="dxa"/>
                  <w:shd w:val="clear" w:color="auto" w:fill="auto"/>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2,754,723</w:t>
                  </w:r>
                </w:p>
              </w:tc>
              <w:tc>
                <w:tcPr>
                  <w:tcW w:w="1285" w:type="dxa"/>
                  <w:shd w:val="clear" w:color="auto" w:fill="auto"/>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2,266,516</w:t>
                  </w:r>
                </w:p>
              </w:tc>
              <w:tc>
                <w:tcPr>
                  <w:tcW w:w="1285" w:type="dxa"/>
                  <w:shd w:val="clear" w:color="auto" w:fill="auto"/>
                  <w:vAlign w:val="center"/>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1,294,798</w:t>
                  </w:r>
                </w:p>
              </w:tc>
              <w:tc>
                <w:tcPr>
                  <w:tcW w:w="1285" w:type="dxa"/>
                  <w:shd w:val="clear" w:color="auto" w:fill="auto"/>
                  <w:vAlign w:val="center"/>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1,308,015</w:t>
                  </w:r>
                </w:p>
              </w:tc>
              <w:tc>
                <w:tcPr>
                  <w:tcW w:w="1705" w:type="dxa"/>
                  <w:shd w:val="clear" w:color="auto" w:fill="auto"/>
                </w:tcPr>
                <w:p w:rsidR="001D5280" w:rsidRPr="003327A6"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327A6">
                    <w:rPr>
                      <w:rFonts w:ascii="Times New Roman" w:hAnsi="Times New Roman" w:cs="Times New Roman"/>
                      <w:color w:val="000000"/>
                      <w:sz w:val="16"/>
                      <w:szCs w:val="16"/>
                    </w:rPr>
                    <w:t>1,298,572</w:t>
                  </w:r>
                </w:p>
              </w:tc>
              <w:tc>
                <w:tcPr>
                  <w:tcW w:w="1705" w:type="dxa"/>
                  <w:shd w:val="clear" w:color="auto" w:fill="auto"/>
                  <w:vAlign w:val="center"/>
                </w:tcPr>
                <w:p w:rsidR="001D5280" w:rsidRPr="0056696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66960">
                    <w:rPr>
                      <w:rFonts w:ascii="Times New Roman" w:hAnsi="Times New Roman" w:cs="Times New Roman"/>
                      <w:color w:val="000000"/>
                      <w:sz w:val="16"/>
                      <w:szCs w:val="16"/>
                    </w:rPr>
                    <w:t>1,255,370</w:t>
                  </w:r>
                </w:p>
              </w:tc>
              <w:tc>
                <w:tcPr>
                  <w:tcW w:w="1705" w:type="dxa"/>
                  <w:shd w:val="clear" w:color="auto" w:fill="auto"/>
                  <w:vAlign w:val="center"/>
                </w:tcPr>
                <w:p w:rsidR="001D5280" w:rsidRPr="004C1E0F"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C1E0F">
                    <w:rPr>
                      <w:rFonts w:ascii="Times New Roman" w:hAnsi="Times New Roman" w:cs="Times New Roman"/>
                      <w:color w:val="000000"/>
                      <w:sz w:val="16"/>
                      <w:szCs w:val="16"/>
                    </w:rPr>
                    <w:t>1,043,110</w:t>
                  </w:r>
                </w:p>
              </w:tc>
              <w:tc>
                <w:tcPr>
                  <w:tcW w:w="1705" w:type="dxa"/>
                  <w:shd w:val="clear" w:color="auto" w:fill="auto"/>
                  <w:vAlign w:val="center"/>
                </w:tcPr>
                <w:p w:rsidR="001D5280" w:rsidRPr="00C30FA9"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1,043,109,667,139</w:t>
                  </w:r>
                </w:p>
              </w:tc>
            </w:tr>
            <w:tr w:rsidR="001D5280" w:rsidRPr="00301A9C" w:rsidTr="00DF71CE">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1D5280" w:rsidRPr="00F26A05" w:rsidRDefault="001D5280" w:rsidP="001D5280">
                  <w:pPr>
                    <w:rPr>
                      <w:rFonts w:ascii="Times New Roman" w:eastAsia="Times New Roman" w:hAnsi="Times New Roman" w:cs="Times New Roman"/>
                      <w:sz w:val="16"/>
                      <w:szCs w:val="16"/>
                    </w:rPr>
                  </w:pPr>
                  <w:r>
                    <w:rPr>
                      <w:rFonts w:ascii="Times New Roman" w:eastAsia="Times New Roman" w:hAnsi="Times New Roman" w:cs="Times New Roman"/>
                      <w:sz w:val="16"/>
                      <w:szCs w:val="16"/>
                    </w:rPr>
                    <w:t>Free-</w:t>
                  </w:r>
                  <w:r w:rsidRPr="00F26A05">
                    <w:rPr>
                      <w:rFonts w:ascii="Times New Roman" w:eastAsia="Times New Roman" w:hAnsi="Times New Roman" w:cs="Times New Roman"/>
                      <w:sz w:val="16"/>
                      <w:szCs w:val="16"/>
                    </w:rPr>
                    <w:t xml:space="preserve">float adjusted Market-Capitalization </w:t>
                  </w:r>
                  <w:r w:rsidRPr="006235F1">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Billion </w:t>
                  </w:r>
                  <w:r w:rsidRPr="006235F1">
                    <w:rPr>
                      <w:rFonts w:ascii="Times New Roman" w:eastAsia="Times New Roman" w:hAnsi="Times New Roman" w:cs="Times New Roman"/>
                      <w:sz w:val="16"/>
                      <w:szCs w:val="16"/>
                    </w:rPr>
                    <w:t>VND)</w:t>
                  </w:r>
                </w:p>
              </w:tc>
              <w:tc>
                <w:tcPr>
                  <w:tcW w:w="1285" w:type="dxa"/>
                  <w:vAlign w:val="bottom"/>
                </w:tcPr>
                <w:p w:rsidR="001D5280" w:rsidRPr="00C65498"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C65498">
                    <w:rPr>
                      <w:rFonts w:ascii="Times New Roman" w:hAnsi="Times New Roman" w:cs="Times New Roman"/>
                      <w:bCs/>
                      <w:color w:val="000000"/>
                      <w:sz w:val="16"/>
                      <w:szCs w:val="16"/>
                    </w:rPr>
                    <w:t>979,522</w:t>
                  </w:r>
                </w:p>
              </w:tc>
              <w:tc>
                <w:tcPr>
                  <w:tcW w:w="1285" w:type="dxa"/>
                  <w:shd w:val="clear" w:color="auto" w:fill="auto"/>
                  <w:vAlign w:val="bottom"/>
                </w:tcPr>
                <w:p w:rsidR="001D5280" w:rsidRPr="00E36F05"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1,011,020</w:t>
                  </w:r>
                </w:p>
              </w:tc>
              <w:tc>
                <w:tcPr>
                  <w:tcW w:w="1285" w:type="dxa"/>
                  <w:shd w:val="clear" w:color="auto" w:fill="auto"/>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1,023,479</w:t>
                  </w:r>
                </w:p>
              </w:tc>
              <w:tc>
                <w:tcPr>
                  <w:tcW w:w="1285" w:type="dxa"/>
                  <w:shd w:val="clear" w:color="auto" w:fill="auto"/>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736,629</w:t>
                  </w:r>
                </w:p>
              </w:tc>
              <w:tc>
                <w:tcPr>
                  <w:tcW w:w="1285" w:type="dxa"/>
                  <w:shd w:val="clear" w:color="auto" w:fill="auto"/>
                  <w:vAlign w:val="center"/>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464,807</w:t>
                  </w:r>
                </w:p>
              </w:tc>
              <w:tc>
                <w:tcPr>
                  <w:tcW w:w="1285" w:type="dxa"/>
                  <w:shd w:val="clear" w:color="auto" w:fill="auto"/>
                  <w:vAlign w:val="center"/>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461,643</w:t>
                  </w:r>
                </w:p>
              </w:tc>
              <w:tc>
                <w:tcPr>
                  <w:tcW w:w="1705" w:type="dxa"/>
                  <w:shd w:val="clear" w:color="auto" w:fill="auto"/>
                </w:tcPr>
                <w:p w:rsidR="001D5280" w:rsidRPr="003327A6"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327A6">
                    <w:rPr>
                      <w:rFonts w:ascii="Times New Roman" w:hAnsi="Times New Roman" w:cs="Times New Roman"/>
                      <w:color w:val="000000"/>
                      <w:sz w:val="16"/>
                      <w:szCs w:val="16"/>
                    </w:rPr>
                    <w:t>463,177</w:t>
                  </w:r>
                </w:p>
              </w:tc>
              <w:tc>
                <w:tcPr>
                  <w:tcW w:w="1705" w:type="dxa"/>
                  <w:shd w:val="clear" w:color="auto" w:fill="auto"/>
                  <w:vAlign w:val="center"/>
                </w:tcPr>
                <w:p w:rsidR="001D5280" w:rsidRPr="0056696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66960">
                    <w:rPr>
                      <w:rFonts w:ascii="Times New Roman" w:hAnsi="Times New Roman" w:cs="Times New Roman"/>
                      <w:color w:val="000000"/>
                      <w:sz w:val="16"/>
                      <w:szCs w:val="16"/>
                    </w:rPr>
                    <w:t>446,893</w:t>
                  </w:r>
                </w:p>
              </w:tc>
              <w:tc>
                <w:tcPr>
                  <w:tcW w:w="1705" w:type="dxa"/>
                  <w:shd w:val="clear" w:color="auto" w:fill="auto"/>
                  <w:vAlign w:val="center"/>
                </w:tcPr>
                <w:p w:rsidR="001D5280" w:rsidRPr="004C1E0F"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C1E0F">
                    <w:rPr>
                      <w:rFonts w:ascii="Times New Roman" w:hAnsi="Times New Roman" w:cs="Times New Roman"/>
                      <w:color w:val="000000"/>
                      <w:sz w:val="16"/>
                      <w:szCs w:val="16"/>
                    </w:rPr>
                    <w:t>414,596</w:t>
                  </w:r>
                </w:p>
              </w:tc>
              <w:tc>
                <w:tcPr>
                  <w:tcW w:w="1705" w:type="dxa"/>
                  <w:shd w:val="clear" w:color="auto" w:fill="auto"/>
                  <w:vAlign w:val="center"/>
                </w:tcPr>
                <w:p w:rsidR="001D5280" w:rsidRPr="00C30FA9"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414,596,030,693</w:t>
                  </w:r>
                </w:p>
              </w:tc>
            </w:tr>
            <w:tr w:rsidR="001D5280" w:rsidRPr="00301A9C" w:rsidTr="00DF71CE">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1D5280" w:rsidRPr="00F26A05" w:rsidRDefault="001D5280" w:rsidP="001D5280">
                  <w:pPr>
                    <w:jc w:val="center"/>
                    <w:rPr>
                      <w:rFonts w:ascii="Times New Roman" w:eastAsia="Times New Roman" w:hAnsi="Times New Roman" w:cs="Times New Roman"/>
                      <w:b w:val="0"/>
                      <w:sz w:val="16"/>
                      <w:szCs w:val="16"/>
                    </w:rPr>
                  </w:pPr>
                  <w:r w:rsidRPr="00F26A05">
                    <w:rPr>
                      <w:rFonts w:ascii="Times New Roman" w:eastAsia="Times New Roman" w:hAnsi="Times New Roman" w:cs="Times New Roman"/>
                      <w:sz w:val="16"/>
                      <w:szCs w:val="16"/>
                    </w:rPr>
                    <w:t>Average</w:t>
                  </w:r>
                </w:p>
              </w:tc>
              <w:tc>
                <w:tcPr>
                  <w:tcW w:w="1285" w:type="dxa"/>
                  <w:vAlign w:val="bottom"/>
                </w:tcPr>
                <w:p w:rsidR="001D5280" w:rsidRPr="00C65498"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C65498">
                    <w:rPr>
                      <w:rFonts w:ascii="Times New Roman" w:hAnsi="Times New Roman" w:cs="Times New Roman"/>
                      <w:bCs/>
                      <w:color w:val="000000"/>
                      <w:sz w:val="16"/>
                      <w:szCs w:val="16"/>
                    </w:rPr>
                    <w:t>3,934</w:t>
                  </w:r>
                </w:p>
              </w:tc>
              <w:tc>
                <w:tcPr>
                  <w:tcW w:w="1285" w:type="dxa"/>
                  <w:shd w:val="clear" w:color="auto" w:fill="auto"/>
                  <w:vAlign w:val="bottom"/>
                </w:tcPr>
                <w:p w:rsidR="001D5280" w:rsidRPr="00E36F05"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4,012</w:t>
                  </w:r>
                </w:p>
              </w:tc>
              <w:tc>
                <w:tcPr>
                  <w:tcW w:w="1285" w:type="dxa"/>
                  <w:shd w:val="clear" w:color="auto" w:fill="auto"/>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4,061</w:t>
                  </w:r>
                </w:p>
              </w:tc>
              <w:tc>
                <w:tcPr>
                  <w:tcW w:w="1285" w:type="dxa"/>
                  <w:shd w:val="clear" w:color="auto" w:fill="auto"/>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3,031</w:t>
                  </w:r>
                </w:p>
              </w:tc>
              <w:tc>
                <w:tcPr>
                  <w:tcW w:w="1285" w:type="dxa"/>
                  <w:shd w:val="clear" w:color="auto" w:fill="auto"/>
                  <w:vAlign w:val="center"/>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2,039</w:t>
                  </w:r>
                </w:p>
              </w:tc>
              <w:tc>
                <w:tcPr>
                  <w:tcW w:w="1285" w:type="dxa"/>
                  <w:shd w:val="clear" w:color="auto" w:fill="auto"/>
                  <w:vAlign w:val="center"/>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1,973</w:t>
                  </w:r>
                </w:p>
              </w:tc>
              <w:tc>
                <w:tcPr>
                  <w:tcW w:w="1705" w:type="dxa"/>
                  <w:shd w:val="clear" w:color="auto" w:fill="auto"/>
                </w:tcPr>
                <w:p w:rsidR="001D5280" w:rsidRPr="003327A6"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327A6">
                    <w:rPr>
                      <w:rFonts w:ascii="Times New Roman" w:hAnsi="Times New Roman" w:cs="Times New Roman"/>
                      <w:color w:val="000000"/>
                      <w:sz w:val="16"/>
                      <w:szCs w:val="16"/>
                    </w:rPr>
                    <w:t>2,086</w:t>
                  </w:r>
                </w:p>
              </w:tc>
              <w:tc>
                <w:tcPr>
                  <w:tcW w:w="1705" w:type="dxa"/>
                  <w:shd w:val="clear" w:color="auto" w:fill="auto"/>
                  <w:vAlign w:val="center"/>
                </w:tcPr>
                <w:p w:rsidR="001D5280" w:rsidRPr="0056696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66960">
                    <w:rPr>
                      <w:rFonts w:ascii="Times New Roman" w:hAnsi="Times New Roman" w:cs="Times New Roman"/>
                      <w:color w:val="000000"/>
                      <w:sz w:val="16"/>
                      <w:szCs w:val="16"/>
                    </w:rPr>
                    <w:t>2,004</w:t>
                  </w:r>
                </w:p>
              </w:tc>
              <w:tc>
                <w:tcPr>
                  <w:tcW w:w="1705" w:type="dxa"/>
                  <w:shd w:val="clear" w:color="auto" w:fill="auto"/>
                  <w:vAlign w:val="center"/>
                </w:tcPr>
                <w:p w:rsidR="001D5280" w:rsidRPr="004C1E0F"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C1E0F">
                    <w:rPr>
                      <w:rFonts w:ascii="Times New Roman" w:hAnsi="Times New Roman" w:cs="Times New Roman"/>
                      <w:color w:val="000000"/>
                      <w:sz w:val="16"/>
                      <w:szCs w:val="16"/>
                    </w:rPr>
                    <w:t>1,713</w:t>
                  </w:r>
                </w:p>
              </w:tc>
              <w:tc>
                <w:tcPr>
                  <w:tcW w:w="1705" w:type="dxa"/>
                  <w:shd w:val="clear" w:color="auto" w:fill="auto"/>
                  <w:vAlign w:val="center"/>
                </w:tcPr>
                <w:p w:rsidR="001D5280" w:rsidRPr="00C30FA9"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1,713,206,738</w:t>
                  </w:r>
                </w:p>
              </w:tc>
            </w:tr>
            <w:tr w:rsidR="001D5280" w:rsidRPr="00301A9C" w:rsidTr="00DF71CE">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1D5280" w:rsidRPr="00F26A05" w:rsidRDefault="001D5280" w:rsidP="001D5280">
                  <w:pPr>
                    <w:jc w:val="center"/>
                    <w:rPr>
                      <w:rFonts w:ascii="Times New Roman" w:eastAsia="Times New Roman" w:hAnsi="Times New Roman" w:cs="Times New Roman"/>
                      <w:b w:val="0"/>
                      <w:sz w:val="16"/>
                      <w:szCs w:val="16"/>
                    </w:rPr>
                  </w:pPr>
                  <w:r w:rsidRPr="00F26A05">
                    <w:rPr>
                      <w:rFonts w:ascii="Times New Roman" w:eastAsia="Times New Roman" w:hAnsi="Times New Roman" w:cs="Times New Roman"/>
                      <w:sz w:val="16"/>
                      <w:szCs w:val="16"/>
                    </w:rPr>
                    <w:t>Max</w:t>
                  </w:r>
                </w:p>
              </w:tc>
              <w:tc>
                <w:tcPr>
                  <w:tcW w:w="1285" w:type="dxa"/>
                  <w:vAlign w:val="bottom"/>
                </w:tcPr>
                <w:p w:rsidR="001D5280" w:rsidRPr="00C65498"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C65498">
                    <w:rPr>
                      <w:rFonts w:ascii="Times New Roman" w:hAnsi="Times New Roman" w:cs="Times New Roman"/>
                      <w:bCs/>
                      <w:color w:val="000000"/>
                      <w:sz w:val="16"/>
                      <w:szCs w:val="16"/>
                    </w:rPr>
                    <w:t>112,756</w:t>
                  </w:r>
                </w:p>
              </w:tc>
              <w:tc>
                <w:tcPr>
                  <w:tcW w:w="1285" w:type="dxa"/>
                  <w:shd w:val="clear" w:color="auto" w:fill="auto"/>
                  <w:vAlign w:val="bottom"/>
                </w:tcPr>
                <w:p w:rsidR="001D5280" w:rsidRPr="00E36F05"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113,017</w:t>
                  </w:r>
                </w:p>
              </w:tc>
              <w:tc>
                <w:tcPr>
                  <w:tcW w:w="1285" w:type="dxa"/>
                  <w:shd w:val="clear" w:color="auto" w:fill="auto"/>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122,856</w:t>
                  </w:r>
                </w:p>
              </w:tc>
              <w:tc>
                <w:tcPr>
                  <w:tcW w:w="1285" w:type="dxa"/>
                  <w:shd w:val="clear" w:color="auto" w:fill="auto"/>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119,149</w:t>
                  </w:r>
                </w:p>
              </w:tc>
              <w:tc>
                <w:tcPr>
                  <w:tcW w:w="1285" w:type="dxa"/>
                  <w:shd w:val="clear" w:color="auto" w:fill="auto"/>
                  <w:vAlign w:val="center"/>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96,664</w:t>
                  </w:r>
                </w:p>
              </w:tc>
              <w:tc>
                <w:tcPr>
                  <w:tcW w:w="1285" w:type="dxa"/>
                  <w:shd w:val="clear" w:color="auto" w:fill="auto"/>
                  <w:vAlign w:val="center"/>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93,595</w:t>
                  </w:r>
                </w:p>
              </w:tc>
              <w:tc>
                <w:tcPr>
                  <w:tcW w:w="1705" w:type="dxa"/>
                  <w:shd w:val="clear" w:color="auto" w:fill="auto"/>
                </w:tcPr>
                <w:p w:rsidR="001D5280" w:rsidRPr="003327A6"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327A6">
                    <w:rPr>
                      <w:rFonts w:ascii="Times New Roman" w:hAnsi="Times New Roman" w:cs="Times New Roman"/>
                      <w:color w:val="000000"/>
                      <w:sz w:val="16"/>
                      <w:szCs w:val="16"/>
                    </w:rPr>
                    <w:t>101,848</w:t>
                  </w:r>
                </w:p>
              </w:tc>
              <w:tc>
                <w:tcPr>
                  <w:tcW w:w="1705" w:type="dxa"/>
                  <w:shd w:val="clear" w:color="auto" w:fill="auto"/>
                  <w:vAlign w:val="center"/>
                </w:tcPr>
                <w:p w:rsidR="001D5280" w:rsidRPr="0056696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66960">
                    <w:rPr>
                      <w:rFonts w:ascii="Times New Roman" w:hAnsi="Times New Roman" w:cs="Times New Roman"/>
                      <w:color w:val="000000"/>
                      <w:sz w:val="16"/>
                      <w:szCs w:val="16"/>
                    </w:rPr>
                    <w:t>85,330</w:t>
                  </w:r>
                </w:p>
              </w:tc>
              <w:tc>
                <w:tcPr>
                  <w:tcW w:w="1705" w:type="dxa"/>
                  <w:shd w:val="clear" w:color="auto" w:fill="auto"/>
                  <w:vAlign w:val="center"/>
                </w:tcPr>
                <w:p w:rsidR="001D5280" w:rsidRPr="004C1E0F"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C1E0F">
                    <w:rPr>
                      <w:rFonts w:ascii="Times New Roman" w:hAnsi="Times New Roman" w:cs="Times New Roman"/>
                      <w:color w:val="000000"/>
                      <w:sz w:val="16"/>
                      <w:szCs w:val="16"/>
                    </w:rPr>
                    <w:t>76,149</w:t>
                  </w:r>
                </w:p>
              </w:tc>
              <w:tc>
                <w:tcPr>
                  <w:tcW w:w="1705" w:type="dxa"/>
                  <w:shd w:val="clear" w:color="auto" w:fill="auto"/>
                  <w:vAlign w:val="center"/>
                </w:tcPr>
                <w:p w:rsidR="001D5280" w:rsidRPr="00C30FA9"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76,148,844,803</w:t>
                  </w:r>
                </w:p>
              </w:tc>
            </w:tr>
            <w:tr w:rsidR="001D5280" w:rsidRPr="00301A9C" w:rsidTr="00DF71CE">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1D5280" w:rsidRPr="00F26A05" w:rsidRDefault="001D5280" w:rsidP="001D5280">
                  <w:pPr>
                    <w:jc w:val="center"/>
                    <w:rPr>
                      <w:rFonts w:ascii="Times New Roman" w:eastAsia="Times New Roman" w:hAnsi="Times New Roman" w:cs="Times New Roman"/>
                      <w:b w:val="0"/>
                      <w:sz w:val="16"/>
                      <w:szCs w:val="16"/>
                    </w:rPr>
                  </w:pPr>
                  <w:r w:rsidRPr="00F26A05">
                    <w:rPr>
                      <w:rFonts w:ascii="Times New Roman" w:eastAsia="Times New Roman" w:hAnsi="Times New Roman" w:cs="Times New Roman"/>
                      <w:sz w:val="16"/>
                      <w:szCs w:val="16"/>
                    </w:rPr>
                    <w:t>Min</w:t>
                  </w:r>
                </w:p>
              </w:tc>
              <w:tc>
                <w:tcPr>
                  <w:tcW w:w="1285" w:type="dxa"/>
                  <w:vAlign w:val="bottom"/>
                </w:tcPr>
                <w:p w:rsidR="001D5280" w:rsidRPr="00C65498"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C65498">
                    <w:rPr>
                      <w:rFonts w:ascii="Times New Roman" w:hAnsi="Times New Roman" w:cs="Times New Roman"/>
                      <w:bCs/>
                      <w:color w:val="000000"/>
                      <w:sz w:val="16"/>
                      <w:szCs w:val="16"/>
                    </w:rPr>
                    <w:t>15</w:t>
                  </w:r>
                </w:p>
              </w:tc>
              <w:tc>
                <w:tcPr>
                  <w:tcW w:w="1285" w:type="dxa"/>
                  <w:shd w:val="clear" w:color="auto" w:fill="auto"/>
                  <w:vAlign w:val="bottom"/>
                </w:tcPr>
                <w:p w:rsidR="001D5280" w:rsidRPr="00E36F05"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19</w:t>
                  </w:r>
                </w:p>
              </w:tc>
              <w:tc>
                <w:tcPr>
                  <w:tcW w:w="1285" w:type="dxa"/>
                  <w:shd w:val="clear" w:color="auto" w:fill="auto"/>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1285" w:type="dxa"/>
                  <w:shd w:val="clear" w:color="auto" w:fill="auto"/>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19</w:t>
                  </w:r>
                </w:p>
              </w:tc>
              <w:tc>
                <w:tcPr>
                  <w:tcW w:w="1285" w:type="dxa"/>
                  <w:shd w:val="clear" w:color="auto" w:fill="auto"/>
                  <w:vAlign w:val="center"/>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1285" w:type="dxa"/>
                  <w:shd w:val="clear" w:color="auto" w:fill="auto"/>
                  <w:vAlign w:val="center"/>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1705" w:type="dxa"/>
                  <w:shd w:val="clear" w:color="auto" w:fill="auto"/>
                </w:tcPr>
                <w:p w:rsidR="001D5280" w:rsidRPr="003327A6"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327A6">
                    <w:rPr>
                      <w:rFonts w:ascii="Times New Roman" w:hAnsi="Times New Roman" w:cs="Times New Roman"/>
                      <w:color w:val="000000"/>
                      <w:sz w:val="16"/>
                      <w:szCs w:val="16"/>
                    </w:rPr>
                    <w:t>18</w:t>
                  </w:r>
                </w:p>
              </w:tc>
              <w:tc>
                <w:tcPr>
                  <w:tcW w:w="1705" w:type="dxa"/>
                  <w:shd w:val="clear" w:color="auto" w:fill="auto"/>
                  <w:vAlign w:val="center"/>
                </w:tcPr>
                <w:p w:rsidR="001D5280" w:rsidRPr="0056696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66960">
                    <w:rPr>
                      <w:rFonts w:ascii="Times New Roman" w:hAnsi="Times New Roman" w:cs="Times New Roman"/>
                      <w:color w:val="000000"/>
                      <w:sz w:val="16"/>
                      <w:szCs w:val="16"/>
                    </w:rPr>
                    <w:t>21</w:t>
                  </w:r>
                </w:p>
              </w:tc>
              <w:tc>
                <w:tcPr>
                  <w:tcW w:w="1705" w:type="dxa"/>
                  <w:shd w:val="clear" w:color="auto" w:fill="auto"/>
                  <w:vAlign w:val="center"/>
                </w:tcPr>
                <w:p w:rsidR="001D5280" w:rsidRPr="004C1E0F"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C1E0F">
                    <w:rPr>
                      <w:rFonts w:ascii="Times New Roman" w:hAnsi="Times New Roman" w:cs="Times New Roman"/>
                      <w:color w:val="000000"/>
                      <w:sz w:val="16"/>
                      <w:szCs w:val="16"/>
                    </w:rPr>
                    <w:t>16</w:t>
                  </w:r>
                </w:p>
              </w:tc>
              <w:tc>
                <w:tcPr>
                  <w:tcW w:w="1705" w:type="dxa"/>
                  <w:shd w:val="clear" w:color="auto" w:fill="auto"/>
                  <w:vAlign w:val="center"/>
                </w:tcPr>
                <w:p w:rsidR="001D5280" w:rsidRPr="00C30FA9"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15,592,500</w:t>
                  </w:r>
                </w:p>
              </w:tc>
            </w:tr>
            <w:tr w:rsidR="001D5280" w:rsidRPr="00301A9C" w:rsidTr="00DF71CE">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1D5280" w:rsidRPr="00F26A05" w:rsidRDefault="001D5280" w:rsidP="001D5280">
                  <w:pPr>
                    <w:jc w:val="center"/>
                    <w:rPr>
                      <w:rFonts w:ascii="Times New Roman" w:eastAsia="Times New Roman" w:hAnsi="Times New Roman" w:cs="Times New Roman"/>
                      <w:b w:val="0"/>
                      <w:sz w:val="16"/>
                      <w:szCs w:val="16"/>
                    </w:rPr>
                  </w:pPr>
                  <w:r w:rsidRPr="00F26A05">
                    <w:rPr>
                      <w:rFonts w:ascii="Times New Roman" w:eastAsia="Times New Roman" w:hAnsi="Times New Roman" w:cs="Times New Roman"/>
                      <w:sz w:val="16"/>
                      <w:szCs w:val="16"/>
                    </w:rPr>
                    <w:t>Median</w:t>
                  </w:r>
                </w:p>
              </w:tc>
              <w:tc>
                <w:tcPr>
                  <w:tcW w:w="1285" w:type="dxa"/>
                  <w:vAlign w:val="bottom"/>
                </w:tcPr>
                <w:p w:rsidR="001D5280" w:rsidRPr="00C65498"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C65498">
                    <w:rPr>
                      <w:rFonts w:ascii="Times New Roman" w:hAnsi="Times New Roman" w:cs="Times New Roman"/>
                      <w:bCs/>
                      <w:color w:val="000000"/>
                      <w:sz w:val="16"/>
                      <w:szCs w:val="16"/>
                    </w:rPr>
                    <w:t>436</w:t>
                  </w:r>
                </w:p>
              </w:tc>
              <w:tc>
                <w:tcPr>
                  <w:tcW w:w="1285" w:type="dxa"/>
                  <w:shd w:val="clear" w:color="auto" w:fill="auto"/>
                  <w:vAlign w:val="bottom"/>
                </w:tcPr>
                <w:p w:rsidR="001D5280" w:rsidRPr="00E36F05"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457</w:t>
                  </w:r>
                </w:p>
              </w:tc>
              <w:tc>
                <w:tcPr>
                  <w:tcW w:w="1285" w:type="dxa"/>
                  <w:shd w:val="clear" w:color="auto" w:fill="auto"/>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461</w:t>
                  </w:r>
                </w:p>
              </w:tc>
              <w:tc>
                <w:tcPr>
                  <w:tcW w:w="1285" w:type="dxa"/>
                  <w:shd w:val="clear" w:color="auto" w:fill="auto"/>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408</w:t>
                  </w:r>
                </w:p>
              </w:tc>
              <w:tc>
                <w:tcPr>
                  <w:tcW w:w="1285" w:type="dxa"/>
                  <w:shd w:val="clear" w:color="auto" w:fill="auto"/>
                  <w:vAlign w:val="center"/>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424</w:t>
                  </w:r>
                </w:p>
              </w:tc>
              <w:tc>
                <w:tcPr>
                  <w:tcW w:w="1285" w:type="dxa"/>
                  <w:shd w:val="clear" w:color="auto" w:fill="auto"/>
                  <w:vAlign w:val="center"/>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411</w:t>
                  </w:r>
                </w:p>
              </w:tc>
              <w:tc>
                <w:tcPr>
                  <w:tcW w:w="1705" w:type="dxa"/>
                  <w:shd w:val="clear" w:color="auto" w:fill="auto"/>
                </w:tcPr>
                <w:p w:rsidR="001D5280" w:rsidRPr="003327A6"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327A6">
                    <w:rPr>
                      <w:rFonts w:ascii="Times New Roman" w:hAnsi="Times New Roman" w:cs="Times New Roman"/>
                      <w:color w:val="000000"/>
                      <w:sz w:val="16"/>
                      <w:szCs w:val="16"/>
                    </w:rPr>
                    <w:t>424</w:t>
                  </w:r>
                </w:p>
              </w:tc>
              <w:tc>
                <w:tcPr>
                  <w:tcW w:w="1705" w:type="dxa"/>
                  <w:shd w:val="clear" w:color="auto" w:fill="auto"/>
                  <w:vAlign w:val="center"/>
                </w:tcPr>
                <w:p w:rsidR="001D5280" w:rsidRPr="0056696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66960">
                    <w:rPr>
                      <w:rFonts w:ascii="Times New Roman" w:hAnsi="Times New Roman" w:cs="Times New Roman"/>
                      <w:color w:val="000000"/>
                      <w:sz w:val="16"/>
                      <w:szCs w:val="16"/>
                    </w:rPr>
                    <w:t>448</w:t>
                  </w:r>
                </w:p>
              </w:tc>
              <w:tc>
                <w:tcPr>
                  <w:tcW w:w="1705" w:type="dxa"/>
                  <w:shd w:val="clear" w:color="auto" w:fill="auto"/>
                  <w:vAlign w:val="center"/>
                </w:tcPr>
                <w:p w:rsidR="001D5280" w:rsidRPr="004C1E0F"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C1E0F">
                    <w:rPr>
                      <w:rFonts w:ascii="Times New Roman" w:hAnsi="Times New Roman" w:cs="Times New Roman"/>
                      <w:color w:val="000000"/>
                      <w:sz w:val="16"/>
                      <w:szCs w:val="16"/>
                    </w:rPr>
                    <w:t>375</w:t>
                  </w:r>
                </w:p>
              </w:tc>
              <w:tc>
                <w:tcPr>
                  <w:tcW w:w="1705" w:type="dxa"/>
                  <w:shd w:val="clear" w:color="auto" w:fill="auto"/>
                  <w:vAlign w:val="center"/>
                </w:tcPr>
                <w:p w:rsidR="001D5280" w:rsidRPr="00C30FA9"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375,021,338</w:t>
                  </w:r>
                </w:p>
              </w:tc>
            </w:tr>
            <w:tr w:rsidR="001D5280" w:rsidRPr="00301A9C" w:rsidTr="00DF71CE">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1D5280" w:rsidRPr="00F26A05" w:rsidRDefault="001D5280" w:rsidP="001D5280">
                  <w:pPr>
                    <w:rPr>
                      <w:rFonts w:ascii="Times New Roman" w:eastAsia="Times New Roman" w:hAnsi="Times New Roman" w:cs="Times New Roman"/>
                      <w:b w:val="0"/>
                      <w:sz w:val="16"/>
                      <w:szCs w:val="16"/>
                    </w:rPr>
                  </w:pPr>
                  <w:r w:rsidRPr="00F26A05">
                    <w:rPr>
                      <w:rFonts w:ascii="Times New Roman" w:eastAsia="Times New Roman" w:hAnsi="Times New Roman" w:cs="Times New Roman"/>
                      <w:sz w:val="16"/>
                      <w:szCs w:val="16"/>
                    </w:rPr>
                    <w:t>Weighted capitalization of largest company</w:t>
                  </w:r>
                </w:p>
              </w:tc>
              <w:tc>
                <w:tcPr>
                  <w:tcW w:w="1285" w:type="dxa"/>
                  <w:vAlign w:val="bottom"/>
                </w:tcPr>
                <w:p w:rsidR="001D5280" w:rsidRPr="00C65498"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6"/>
                      <w:szCs w:val="16"/>
                    </w:rPr>
                  </w:pPr>
                  <w:r w:rsidRPr="00C65498">
                    <w:rPr>
                      <w:rFonts w:ascii="Times New Roman" w:hAnsi="Times New Roman" w:cs="Times New Roman"/>
                      <w:bCs/>
                      <w:color w:val="000000"/>
                      <w:sz w:val="16"/>
                      <w:szCs w:val="16"/>
                    </w:rPr>
                    <w:t>11.51%</w:t>
                  </w:r>
                </w:p>
              </w:tc>
              <w:tc>
                <w:tcPr>
                  <w:tcW w:w="1285" w:type="dxa"/>
                  <w:shd w:val="clear" w:color="auto" w:fill="auto"/>
                  <w:vAlign w:val="bottom"/>
                </w:tcPr>
                <w:p w:rsidR="001D5280" w:rsidRPr="00E36F05"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11.18%</w:t>
                  </w:r>
                </w:p>
              </w:tc>
              <w:tc>
                <w:tcPr>
                  <w:tcW w:w="1285" w:type="dxa"/>
                  <w:shd w:val="clear" w:color="auto" w:fill="auto"/>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12.00%</w:t>
                  </w:r>
                </w:p>
              </w:tc>
              <w:tc>
                <w:tcPr>
                  <w:tcW w:w="1285" w:type="dxa"/>
                  <w:shd w:val="clear" w:color="auto" w:fill="auto"/>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16.17%</w:t>
                  </w:r>
                </w:p>
              </w:tc>
              <w:tc>
                <w:tcPr>
                  <w:tcW w:w="1285" w:type="dxa"/>
                  <w:shd w:val="clear" w:color="auto" w:fill="auto"/>
                  <w:vAlign w:val="center"/>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20.80%</w:t>
                  </w:r>
                </w:p>
              </w:tc>
              <w:tc>
                <w:tcPr>
                  <w:tcW w:w="1285" w:type="dxa"/>
                  <w:shd w:val="clear" w:color="auto" w:fill="auto"/>
                  <w:vAlign w:val="center"/>
                </w:tcPr>
                <w:p w:rsidR="001D528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20.27%</w:t>
                  </w:r>
                </w:p>
              </w:tc>
              <w:tc>
                <w:tcPr>
                  <w:tcW w:w="1705" w:type="dxa"/>
                  <w:shd w:val="clear" w:color="auto" w:fill="auto"/>
                </w:tcPr>
                <w:p w:rsidR="001D5280" w:rsidRPr="003327A6"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327A6">
                    <w:rPr>
                      <w:rFonts w:ascii="Times New Roman" w:hAnsi="Times New Roman" w:cs="Times New Roman"/>
                      <w:color w:val="000000"/>
                      <w:sz w:val="16"/>
                      <w:szCs w:val="16"/>
                    </w:rPr>
                    <w:t>21.99%</w:t>
                  </w:r>
                </w:p>
              </w:tc>
              <w:tc>
                <w:tcPr>
                  <w:tcW w:w="1705" w:type="dxa"/>
                  <w:shd w:val="clear" w:color="auto" w:fill="auto"/>
                  <w:vAlign w:val="center"/>
                </w:tcPr>
                <w:p w:rsidR="001D5280" w:rsidRPr="00566960"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66960">
                    <w:rPr>
                      <w:rFonts w:ascii="Times New Roman" w:hAnsi="Times New Roman" w:cs="Times New Roman"/>
                      <w:color w:val="000000"/>
                      <w:sz w:val="16"/>
                      <w:szCs w:val="16"/>
                    </w:rPr>
                    <w:t>19.09%</w:t>
                  </w:r>
                </w:p>
              </w:tc>
              <w:tc>
                <w:tcPr>
                  <w:tcW w:w="1705" w:type="dxa"/>
                  <w:shd w:val="clear" w:color="auto" w:fill="auto"/>
                  <w:vAlign w:val="center"/>
                </w:tcPr>
                <w:p w:rsidR="001D5280" w:rsidRPr="004C1E0F"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C1E0F">
                    <w:rPr>
                      <w:rFonts w:ascii="Times New Roman" w:hAnsi="Times New Roman" w:cs="Times New Roman"/>
                      <w:color w:val="000000"/>
                      <w:sz w:val="16"/>
                      <w:szCs w:val="16"/>
                    </w:rPr>
                    <w:t>18.37%</w:t>
                  </w:r>
                </w:p>
              </w:tc>
              <w:tc>
                <w:tcPr>
                  <w:tcW w:w="1705" w:type="dxa"/>
                  <w:shd w:val="clear" w:color="auto" w:fill="auto"/>
                  <w:vAlign w:val="center"/>
                </w:tcPr>
                <w:p w:rsidR="001D5280" w:rsidRPr="00C30FA9" w:rsidRDefault="001D5280" w:rsidP="001D52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18.37%</w:t>
                  </w:r>
                </w:p>
              </w:tc>
            </w:tr>
            <w:tr w:rsidR="001D5280" w:rsidRPr="00301A9C" w:rsidTr="00DF71CE">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1D5280" w:rsidRPr="00F26A05" w:rsidRDefault="001D5280" w:rsidP="001D5280">
                  <w:pPr>
                    <w:rPr>
                      <w:rFonts w:ascii="Times New Roman" w:eastAsia="Times New Roman" w:hAnsi="Times New Roman" w:cs="Times New Roman"/>
                      <w:b w:val="0"/>
                      <w:sz w:val="16"/>
                      <w:szCs w:val="16"/>
                    </w:rPr>
                  </w:pPr>
                  <w:r w:rsidRPr="00F26A05">
                    <w:rPr>
                      <w:rFonts w:ascii="Times New Roman" w:eastAsia="Times New Roman" w:hAnsi="Times New Roman" w:cs="Times New Roman"/>
                      <w:sz w:val="16"/>
                      <w:szCs w:val="16"/>
                    </w:rPr>
                    <w:t>Weighted capitalization of top-10 companies</w:t>
                  </w:r>
                </w:p>
              </w:tc>
              <w:tc>
                <w:tcPr>
                  <w:tcW w:w="1285" w:type="dxa"/>
                  <w:vAlign w:val="bottom"/>
                </w:tcPr>
                <w:p w:rsidR="001D5280" w:rsidRPr="00C65498"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C65498">
                    <w:rPr>
                      <w:rFonts w:ascii="Times New Roman" w:hAnsi="Times New Roman" w:cs="Times New Roman"/>
                      <w:bCs/>
                      <w:color w:val="000000"/>
                      <w:sz w:val="16"/>
                      <w:szCs w:val="16"/>
                    </w:rPr>
                    <w:t>56.28%</w:t>
                  </w:r>
                </w:p>
              </w:tc>
              <w:tc>
                <w:tcPr>
                  <w:tcW w:w="1285" w:type="dxa"/>
                  <w:shd w:val="clear" w:color="auto" w:fill="auto"/>
                  <w:vAlign w:val="bottom"/>
                </w:tcPr>
                <w:p w:rsidR="001D5280" w:rsidRPr="00E36F05"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56.37%</w:t>
                  </w:r>
                </w:p>
              </w:tc>
              <w:tc>
                <w:tcPr>
                  <w:tcW w:w="1285" w:type="dxa"/>
                  <w:shd w:val="clear" w:color="auto" w:fill="auto"/>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56.94%</w:t>
                  </w:r>
                </w:p>
              </w:tc>
              <w:tc>
                <w:tcPr>
                  <w:tcW w:w="1285" w:type="dxa"/>
                  <w:shd w:val="clear" w:color="auto" w:fill="auto"/>
                  <w:vAlign w:val="center"/>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60.22%</w:t>
                  </w:r>
                </w:p>
              </w:tc>
              <w:tc>
                <w:tcPr>
                  <w:tcW w:w="1285" w:type="dxa"/>
                  <w:shd w:val="clear" w:color="auto" w:fill="auto"/>
                  <w:vAlign w:val="center"/>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55.41%</w:t>
                  </w:r>
                </w:p>
              </w:tc>
              <w:tc>
                <w:tcPr>
                  <w:tcW w:w="1285" w:type="dxa"/>
                  <w:shd w:val="clear" w:color="auto" w:fill="auto"/>
                  <w:vAlign w:val="center"/>
                </w:tcPr>
                <w:p w:rsidR="001D528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55.31%</w:t>
                  </w:r>
                </w:p>
              </w:tc>
              <w:tc>
                <w:tcPr>
                  <w:tcW w:w="1705" w:type="dxa"/>
                  <w:shd w:val="clear" w:color="auto" w:fill="auto"/>
                </w:tcPr>
                <w:p w:rsidR="001D5280" w:rsidRPr="003327A6"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327A6">
                    <w:rPr>
                      <w:rFonts w:ascii="Times New Roman" w:hAnsi="Times New Roman" w:cs="Times New Roman"/>
                      <w:color w:val="000000"/>
                      <w:sz w:val="16"/>
                      <w:szCs w:val="16"/>
                    </w:rPr>
                    <w:t>57.49%</w:t>
                  </w:r>
                </w:p>
              </w:tc>
              <w:tc>
                <w:tcPr>
                  <w:tcW w:w="1705" w:type="dxa"/>
                  <w:shd w:val="clear" w:color="auto" w:fill="auto"/>
                  <w:vAlign w:val="center"/>
                </w:tcPr>
                <w:p w:rsidR="001D5280" w:rsidRPr="00566960"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66960">
                    <w:rPr>
                      <w:rFonts w:ascii="Times New Roman" w:hAnsi="Times New Roman" w:cs="Times New Roman"/>
                      <w:color w:val="000000"/>
                      <w:sz w:val="16"/>
                      <w:szCs w:val="16"/>
                    </w:rPr>
                    <w:t>56.05%</w:t>
                  </w:r>
                </w:p>
              </w:tc>
              <w:tc>
                <w:tcPr>
                  <w:tcW w:w="1705" w:type="dxa"/>
                  <w:shd w:val="clear" w:color="auto" w:fill="auto"/>
                  <w:vAlign w:val="center"/>
                </w:tcPr>
                <w:p w:rsidR="001D5280" w:rsidRPr="004C1E0F"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C1E0F">
                    <w:rPr>
                      <w:rFonts w:ascii="Times New Roman" w:hAnsi="Times New Roman" w:cs="Times New Roman"/>
                      <w:color w:val="000000"/>
                      <w:sz w:val="16"/>
                      <w:szCs w:val="16"/>
                    </w:rPr>
                    <w:t>54.92%</w:t>
                  </w:r>
                </w:p>
              </w:tc>
              <w:tc>
                <w:tcPr>
                  <w:tcW w:w="1705" w:type="dxa"/>
                  <w:shd w:val="clear" w:color="auto" w:fill="auto"/>
                  <w:vAlign w:val="center"/>
                </w:tcPr>
                <w:p w:rsidR="001D5280" w:rsidRPr="00C30FA9" w:rsidRDefault="001D5280" w:rsidP="001D52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54.92%</w:t>
                  </w:r>
                </w:p>
              </w:tc>
            </w:tr>
          </w:tbl>
          <w:p w:rsidR="004E1251" w:rsidRPr="00BC4093" w:rsidRDefault="004E1251" w:rsidP="004E1251">
            <w:pPr>
              <w:rPr>
                <w:rFonts w:ascii="Times New Roman" w:hAnsi="Times New Roman" w:cs="Times New Roman"/>
                <w:sz w:val="16"/>
                <w:szCs w:val="16"/>
              </w:rPr>
            </w:pPr>
          </w:p>
        </w:tc>
        <w:tc>
          <w:tcPr>
            <w:tcW w:w="5436" w:type="dxa"/>
            <w:gridSpan w:val="4"/>
          </w:tcPr>
          <w:p w:rsidR="00F26A05" w:rsidRPr="00CE5502" w:rsidRDefault="00F26A05" w:rsidP="001311EB">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Base Date: </w:t>
            </w:r>
            <w:r>
              <w:rPr>
                <w:rFonts w:ascii="Times New Roman" w:hAnsi="Times New Roman" w:cs="Times New Roman"/>
                <w:sz w:val="16"/>
                <w:szCs w:val="18"/>
              </w:rPr>
              <w:t>24</w:t>
            </w:r>
            <w:r w:rsidRPr="00CE5502">
              <w:rPr>
                <w:rFonts w:ascii="Times New Roman" w:hAnsi="Times New Roman" w:cs="Times New Roman"/>
                <w:sz w:val="16"/>
                <w:szCs w:val="18"/>
              </w:rPr>
              <w:t>/01/20</w:t>
            </w:r>
            <w:r>
              <w:rPr>
                <w:rFonts w:ascii="Times New Roman" w:hAnsi="Times New Roman" w:cs="Times New Roman"/>
                <w:sz w:val="16"/>
                <w:szCs w:val="18"/>
              </w:rPr>
              <w:t>14</w:t>
            </w:r>
          </w:p>
          <w:p w:rsidR="00F26A05" w:rsidRPr="00CE5502" w:rsidRDefault="00F26A05" w:rsidP="001311EB">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Base Value: </w:t>
            </w:r>
            <w:r>
              <w:rPr>
                <w:rFonts w:ascii="Times New Roman" w:hAnsi="Times New Roman" w:cs="Times New Roman"/>
                <w:sz w:val="16"/>
                <w:szCs w:val="18"/>
              </w:rPr>
              <w:t>560.19</w:t>
            </w:r>
          </w:p>
          <w:p w:rsidR="00F26A05" w:rsidRPr="00CE5502" w:rsidRDefault="00F26A05" w:rsidP="001311EB">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Availability: </w:t>
            </w:r>
            <w:r w:rsidRPr="00CE5502">
              <w:rPr>
                <w:rFonts w:ascii="Times New Roman" w:hAnsi="Times New Roman" w:cs="Times New Roman"/>
                <w:sz w:val="16"/>
                <w:szCs w:val="18"/>
              </w:rPr>
              <w:t>Price and Total Return</w:t>
            </w:r>
          </w:p>
          <w:p w:rsidR="00F26A05" w:rsidRPr="00CE5502" w:rsidRDefault="00F26A05" w:rsidP="001311EB">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Frequency: </w:t>
            </w:r>
          </w:p>
          <w:p w:rsidR="00F26A05" w:rsidRPr="00CE5502" w:rsidRDefault="00F26A05" w:rsidP="001311EB">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 </w:t>
            </w:r>
            <w:proofErr w:type="spellStart"/>
            <w:r w:rsidRPr="00CE5502">
              <w:rPr>
                <w:rFonts w:ascii="Times New Roman" w:hAnsi="Times New Roman" w:cs="Times New Roman"/>
                <w:b/>
                <w:sz w:val="16"/>
                <w:szCs w:val="18"/>
              </w:rPr>
              <w:t>VN</w:t>
            </w:r>
            <w:r w:rsidR="00106750">
              <w:rPr>
                <w:rFonts w:ascii="Times New Roman" w:hAnsi="Times New Roman" w:cs="Times New Roman"/>
                <w:b/>
                <w:sz w:val="16"/>
                <w:szCs w:val="18"/>
              </w:rPr>
              <w:t>Allshare</w:t>
            </w:r>
            <w:proofErr w:type="spellEnd"/>
            <w:r w:rsidRPr="00CE5502">
              <w:rPr>
                <w:rFonts w:ascii="Times New Roman" w:hAnsi="Times New Roman" w:cs="Times New Roman"/>
                <w:b/>
                <w:sz w:val="16"/>
                <w:szCs w:val="18"/>
              </w:rPr>
              <w:t xml:space="preserve">: </w:t>
            </w:r>
            <w:r w:rsidRPr="00CE5502">
              <w:rPr>
                <w:rFonts w:ascii="Times New Roman" w:hAnsi="Times New Roman" w:cs="Times New Roman"/>
                <w:sz w:val="16"/>
                <w:szCs w:val="18"/>
              </w:rPr>
              <w:t>Once per minute</w:t>
            </w:r>
            <w:r w:rsidRPr="00CE5502">
              <w:rPr>
                <w:rFonts w:ascii="Times New Roman" w:hAnsi="Times New Roman" w:cs="Times New Roman"/>
                <w:b/>
                <w:sz w:val="16"/>
                <w:szCs w:val="18"/>
              </w:rPr>
              <w:t>.</w:t>
            </w:r>
          </w:p>
          <w:p w:rsidR="00F26A05" w:rsidRPr="00CE5502" w:rsidRDefault="00F26A05" w:rsidP="001311EB">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 </w:t>
            </w:r>
            <w:proofErr w:type="spellStart"/>
            <w:r w:rsidRPr="00CE5502">
              <w:rPr>
                <w:rFonts w:ascii="Times New Roman" w:hAnsi="Times New Roman" w:cs="Times New Roman"/>
                <w:b/>
                <w:sz w:val="16"/>
                <w:szCs w:val="18"/>
              </w:rPr>
              <w:t>VN</w:t>
            </w:r>
            <w:r w:rsidR="00106750">
              <w:rPr>
                <w:rFonts w:ascii="Times New Roman" w:hAnsi="Times New Roman" w:cs="Times New Roman"/>
                <w:b/>
                <w:sz w:val="16"/>
                <w:szCs w:val="18"/>
              </w:rPr>
              <w:t>Allshare</w:t>
            </w:r>
            <w:r w:rsidRPr="00CE5502">
              <w:rPr>
                <w:rFonts w:ascii="Times New Roman" w:hAnsi="Times New Roman" w:cs="Times New Roman"/>
                <w:b/>
                <w:sz w:val="16"/>
                <w:szCs w:val="18"/>
              </w:rPr>
              <w:t>TRI</w:t>
            </w:r>
            <w:proofErr w:type="spellEnd"/>
            <w:r w:rsidRPr="00CE5502">
              <w:rPr>
                <w:rFonts w:ascii="Times New Roman" w:hAnsi="Times New Roman" w:cs="Times New Roman"/>
                <w:b/>
                <w:sz w:val="16"/>
                <w:szCs w:val="18"/>
              </w:rPr>
              <w:t xml:space="preserve">: </w:t>
            </w:r>
            <w:r w:rsidRPr="00CE5502">
              <w:rPr>
                <w:rFonts w:ascii="Times New Roman" w:hAnsi="Times New Roman" w:cs="Times New Roman"/>
                <w:sz w:val="16"/>
                <w:szCs w:val="18"/>
              </w:rPr>
              <w:t>End of day</w:t>
            </w:r>
            <w:r w:rsidRPr="00CE5502">
              <w:rPr>
                <w:rFonts w:ascii="Times New Roman" w:hAnsi="Times New Roman" w:cs="Times New Roman"/>
                <w:b/>
                <w:sz w:val="16"/>
                <w:szCs w:val="18"/>
              </w:rPr>
              <w:t>.</w:t>
            </w:r>
          </w:p>
          <w:p w:rsidR="00F26A05" w:rsidRPr="00CE5502" w:rsidRDefault="00F26A05" w:rsidP="001311EB">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Capping limit: </w:t>
            </w:r>
            <w:r w:rsidRPr="00CE5502">
              <w:rPr>
                <w:rFonts w:ascii="Times New Roman" w:hAnsi="Times New Roman" w:cs="Times New Roman"/>
                <w:sz w:val="16"/>
                <w:szCs w:val="18"/>
              </w:rPr>
              <w:t>10%</w:t>
            </w:r>
          </w:p>
          <w:p w:rsidR="00F26A05" w:rsidRPr="00E771F9" w:rsidRDefault="00F26A05" w:rsidP="00E771F9">
            <w:pPr>
              <w:jc w:val="both"/>
              <w:rPr>
                <w:rFonts w:ascii="Times New Roman" w:hAnsi="Times New Roman" w:cs="Times New Roman"/>
                <w:sz w:val="15"/>
                <w:szCs w:val="15"/>
              </w:rPr>
            </w:pPr>
            <w:r w:rsidRPr="00CE5502">
              <w:rPr>
                <w:rFonts w:ascii="Times New Roman" w:hAnsi="Times New Roman" w:cs="Times New Roman"/>
                <w:b/>
                <w:sz w:val="16"/>
                <w:szCs w:val="18"/>
              </w:rPr>
              <w:t xml:space="preserve">Calculation Method: </w:t>
            </w:r>
            <w:r w:rsidR="00E771F9" w:rsidRPr="00E771F9">
              <w:rPr>
                <w:rFonts w:ascii="Times New Roman" w:hAnsi="Times New Roman" w:cs="Times New Roman"/>
                <w:sz w:val="16"/>
                <w:szCs w:val="16"/>
              </w:rPr>
              <w:t>Free-float adjusted market-capitalization weighted index.</w:t>
            </w:r>
          </w:p>
          <w:p w:rsidR="004E1251" w:rsidRPr="004E1251" w:rsidRDefault="00F26A05" w:rsidP="001311EB">
            <w:pPr>
              <w:spacing w:line="276" w:lineRule="auto"/>
              <w:jc w:val="both"/>
              <w:rPr>
                <w:rFonts w:ascii="Times New Roman" w:hAnsi="Times New Roman" w:cs="Times New Roman"/>
                <w:sz w:val="16"/>
                <w:szCs w:val="18"/>
              </w:rPr>
            </w:pPr>
            <w:r w:rsidRPr="00CE5502">
              <w:rPr>
                <w:rFonts w:ascii="Times New Roman" w:hAnsi="Times New Roman" w:cs="Times New Roman"/>
                <w:b/>
                <w:sz w:val="16"/>
                <w:szCs w:val="18"/>
              </w:rPr>
              <w:t xml:space="preserve">Currency: </w:t>
            </w:r>
            <w:r w:rsidRPr="00CE5502">
              <w:rPr>
                <w:rFonts w:ascii="Times New Roman" w:hAnsi="Times New Roman" w:cs="Times New Roman"/>
                <w:sz w:val="16"/>
                <w:szCs w:val="18"/>
              </w:rPr>
              <w:t>VND</w:t>
            </w:r>
          </w:p>
        </w:tc>
      </w:tr>
      <w:tr w:rsidR="004E1251" w:rsidRPr="006D2F55" w:rsidTr="00474BB6">
        <w:tblPrEx>
          <w:tblCellMar>
            <w:left w:w="108" w:type="dxa"/>
            <w:right w:w="108" w:type="dxa"/>
          </w:tblCellMar>
        </w:tblPrEx>
        <w:trPr>
          <w:gridAfter w:val="1"/>
          <w:wAfter w:w="49" w:type="dxa"/>
          <w:trHeight w:hRule="exact" w:val="302"/>
          <w:jc w:val="center"/>
        </w:trPr>
        <w:tc>
          <w:tcPr>
            <w:tcW w:w="5776" w:type="dxa"/>
            <w:gridSpan w:val="4"/>
            <w:vMerge w:val="restart"/>
          </w:tcPr>
          <w:p w:rsidR="004E1251" w:rsidRDefault="0074250D" w:rsidP="00BC4093">
            <w:pPr>
              <w:rPr>
                <w:rFonts w:eastAsia="Times New Roman" w:cs="Times New Roman"/>
                <w:sz w:val="16"/>
                <w:szCs w:val="16"/>
              </w:rPr>
            </w:pPr>
            <w:r>
              <w:rPr>
                <w:rFonts w:eastAsia="Times New Roman" w:cs="Times New Roman"/>
                <w:noProof/>
                <w:sz w:val="16"/>
                <w:szCs w:val="16"/>
              </w:rPr>
              <w:drawing>
                <wp:inline distT="0" distB="0" distL="0" distR="0" wp14:anchorId="7F747AF3">
                  <wp:extent cx="3688715" cy="1542415"/>
                  <wp:effectExtent l="0" t="0" r="698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715" cy="1542415"/>
                          </a:xfrm>
                          <a:prstGeom prst="rect">
                            <a:avLst/>
                          </a:prstGeom>
                          <a:noFill/>
                        </pic:spPr>
                      </pic:pic>
                    </a:graphicData>
                  </a:graphic>
                </wp:inline>
              </w:drawing>
            </w:r>
            <w:r w:rsidR="00501B6F">
              <w:rPr>
                <w:noProof/>
              </w:rPr>
              <w:drawing>
                <wp:inline distT="0" distB="0" distL="0" distR="0" wp14:anchorId="209B1464" wp14:editId="7869FFDD">
                  <wp:extent cx="3687488" cy="1541766"/>
                  <wp:effectExtent l="0" t="0" r="8255" b="1905"/>
                  <wp:docPr id="26" name="Chart 26">
                    <a:extLst xmlns:a="http://schemas.openxmlformats.org/drawingml/2006/main">
                      <a:ext uri="{FF2B5EF4-FFF2-40B4-BE49-F238E27FC236}">
                        <a16:creationId xmlns:a16="http://schemas.microsoft.com/office/drawing/2014/main" id="{00000000-0008-0000-0100-00002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436" w:type="dxa"/>
            <w:gridSpan w:val="4"/>
            <w:shd w:val="clear" w:color="auto" w:fill="0070C0"/>
            <w:vAlign w:val="center"/>
          </w:tcPr>
          <w:p w:rsidR="004E1251" w:rsidRPr="00CE5502" w:rsidRDefault="00F26A05" w:rsidP="00F55974">
            <w:pPr>
              <w:rPr>
                <w:rFonts w:ascii="Times New Roman" w:hAnsi="Times New Roman" w:cs="Times New Roman"/>
                <w:b/>
                <w:sz w:val="16"/>
                <w:szCs w:val="18"/>
              </w:rPr>
            </w:pPr>
            <w:r w:rsidRPr="006D2F55">
              <w:rPr>
                <w:rFonts w:ascii="Times New Roman" w:hAnsi="Times New Roman" w:cs="Times New Roman"/>
                <w:b/>
                <w:color w:val="FFFFFF" w:themeColor="background1"/>
              </w:rPr>
              <w:t>Ind</w:t>
            </w:r>
            <w:r>
              <w:rPr>
                <w:rFonts w:ascii="Times New Roman" w:hAnsi="Times New Roman" w:cs="Times New Roman"/>
                <w:b/>
                <w:color w:val="FFFFFF" w:themeColor="background1"/>
              </w:rPr>
              <w:t>ex</w:t>
            </w:r>
            <w:r w:rsidRPr="006D2F55">
              <w:rPr>
                <w:rFonts w:ascii="Times New Roman" w:hAnsi="Times New Roman" w:cs="Times New Roman"/>
                <w:b/>
                <w:color w:val="FFFFFF" w:themeColor="background1"/>
              </w:rPr>
              <w:t xml:space="preserve"> Volatility</w:t>
            </w:r>
          </w:p>
        </w:tc>
      </w:tr>
      <w:tr w:rsidR="004E1251" w:rsidRPr="006D2F55" w:rsidTr="00474BB6">
        <w:trPr>
          <w:gridAfter w:val="1"/>
          <w:wAfter w:w="49" w:type="dxa"/>
          <w:trHeight w:hRule="exact" w:val="1010"/>
          <w:jc w:val="center"/>
        </w:trPr>
        <w:tc>
          <w:tcPr>
            <w:tcW w:w="5776" w:type="dxa"/>
            <w:gridSpan w:val="4"/>
            <w:vMerge/>
          </w:tcPr>
          <w:p w:rsidR="004E1251" w:rsidRDefault="004E1251" w:rsidP="00BC4093">
            <w:pPr>
              <w:rPr>
                <w:rFonts w:eastAsia="Times New Roman" w:cs="Times New Roman"/>
                <w:sz w:val="16"/>
                <w:szCs w:val="16"/>
              </w:rPr>
            </w:pPr>
          </w:p>
        </w:tc>
        <w:tc>
          <w:tcPr>
            <w:tcW w:w="5436" w:type="dxa"/>
            <w:gridSpan w:val="4"/>
            <w:vAlign w:val="center"/>
          </w:tcPr>
          <w:tbl>
            <w:tblPr>
              <w:tblW w:w="5274"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879"/>
              <w:gridCol w:w="879"/>
              <w:gridCol w:w="879"/>
              <w:gridCol w:w="879"/>
              <w:gridCol w:w="879"/>
              <w:gridCol w:w="879"/>
            </w:tblGrid>
            <w:tr w:rsidR="00F26A05" w:rsidRPr="00C84839" w:rsidTr="007919C0">
              <w:trPr>
                <w:trHeight w:val="283"/>
              </w:trPr>
              <w:tc>
                <w:tcPr>
                  <w:tcW w:w="879" w:type="dxa"/>
                  <w:tcBorders>
                    <w:right w:val="single" w:sz="4" w:space="0" w:color="0070C0"/>
                  </w:tcBorders>
                  <w:shd w:val="clear" w:color="auto" w:fill="auto"/>
                  <w:noWrap/>
                  <w:vAlign w:val="center"/>
                  <w:hideMark/>
                </w:tcPr>
                <w:p w:rsidR="00F26A05" w:rsidRPr="004260EC" w:rsidRDefault="00F26A05" w:rsidP="000F4C2D">
                  <w:pPr>
                    <w:spacing w:after="0" w:line="240" w:lineRule="auto"/>
                    <w:jc w:val="center"/>
                    <w:rPr>
                      <w:rFonts w:ascii="Times New Roman" w:eastAsia="Times New Roman" w:hAnsi="Times New Roman" w:cs="Times New Roman"/>
                      <w:sz w:val="14"/>
                      <w:szCs w:val="14"/>
                    </w:rPr>
                  </w:pPr>
                </w:p>
              </w:tc>
              <w:tc>
                <w:tcPr>
                  <w:tcW w:w="879" w:type="dxa"/>
                  <w:tcBorders>
                    <w:left w:val="single" w:sz="4" w:space="0" w:color="0070C0"/>
                  </w:tcBorders>
                  <w:shd w:val="clear" w:color="auto" w:fill="auto"/>
                  <w:noWrap/>
                  <w:vAlign w:val="center"/>
                  <w:hideMark/>
                </w:tcPr>
                <w:p w:rsidR="00F26A05" w:rsidRPr="00F26A05" w:rsidRDefault="00F26A05" w:rsidP="00F26A05">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months</w:t>
                  </w:r>
                </w:p>
              </w:tc>
              <w:tc>
                <w:tcPr>
                  <w:tcW w:w="879" w:type="dxa"/>
                  <w:shd w:val="clear" w:color="auto" w:fill="auto"/>
                  <w:noWrap/>
                  <w:vAlign w:val="center"/>
                  <w:hideMark/>
                </w:tcPr>
                <w:p w:rsidR="00F26A05" w:rsidRPr="00F26A05" w:rsidRDefault="00F26A05" w:rsidP="007919C0">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6 months</w:t>
                  </w:r>
                </w:p>
              </w:tc>
              <w:tc>
                <w:tcPr>
                  <w:tcW w:w="879" w:type="dxa"/>
                  <w:shd w:val="clear" w:color="auto" w:fill="auto"/>
                  <w:noWrap/>
                  <w:vAlign w:val="center"/>
                  <w:hideMark/>
                </w:tcPr>
                <w:p w:rsidR="00F26A05" w:rsidRPr="00F26A05" w:rsidRDefault="00F26A05" w:rsidP="00F26A05">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1 year</w:t>
                  </w:r>
                </w:p>
              </w:tc>
              <w:tc>
                <w:tcPr>
                  <w:tcW w:w="879" w:type="dxa"/>
                  <w:shd w:val="clear" w:color="auto" w:fill="auto"/>
                  <w:noWrap/>
                  <w:vAlign w:val="center"/>
                  <w:hideMark/>
                </w:tcPr>
                <w:p w:rsidR="00F26A05" w:rsidRPr="00F26A05" w:rsidRDefault="00F26A05" w:rsidP="00F26A05">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years</w:t>
                  </w:r>
                </w:p>
              </w:tc>
              <w:tc>
                <w:tcPr>
                  <w:tcW w:w="879" w:type="dxa"/>
                  <w:shd w:val="clear" w:color="auto" w:fill="auto"/>
                  <w:noWrap/>
                  <w:vAlign w:val="center"/>
                  <w:hideMark/>
                </w:tcPr>
                <w:p w:rsidR="00F26A05" w:rsidRPr="00F26A05" w:rsidRDefault="00F26A05" w:rsidP="00F26A05">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5 years</w:t>
                  </w:r>
                </w:p>
              </w:tc>
            </w:tr>
            <w:tr w:rsidR="001D5280" w:rsidRPr="00C84839" w:rsidTr="00006CAA">
              <w:trPr>
                <w:trHeight w:val="283"/>
              </w:trPr>
              <w:tc>
                <w:tcPr>
                  <w:tcW w:w="879" w:type="dxa"/>
                  <w:tcBorders>
                    <w:right w:val="single" w:sz="4" w:space="0" w:color="0070C0"/>
                  </w:tcBorders>
                  <w:shd w:val="clear" w:color="auto" w:fill="auto"/>
                  <w:noWrap/>
                  <w:vAlign w:val="center"/>
                  <w:hideMark/>
                </w:tcPr>
                <w:p w:rsidR="001D5280" w:rsidRPr="006F0DAD" w:rsidRDefault="001D5280" w:rsidP="001D5280">
                  <w:pPr>
                    <w:spacing w:after="0" w:line="240" w:lineRule="auto"/>
                    <w:jc w:val="center"/>
                    <w:rPr>
                      <w:rFonts w:ascii="Times New Roman" w:eastAsia="Times New Roman" w:hAnsi="Times New Roman" w:cs="Times New Roman"/>
                      <w:b/>
                      <w:bCs/>
                      <w:color w:val="000000"/>
                      <w:sz w:val="13"/>
                      <w:szCs w:val="13"/>
                    </w:rPr>
                  </w:pPr>
                  <w:proofErr w:type="spellStart"/>
                  <w:r w:rsidRPr="006F0DAD">
                    <w:rPr>
                      <w:rFonts w:ascii="Times New Roman" w:eastAsia="Times New Roman" w:hAnsi="Times New Roman" w:cs="Times New Roman"/>
                      <w:b/>
                      <w:bCs/>
                      <w:color w:val="000000"/>
                      <w:sz w:val="13"/>
                      <w:szCs w:val="13"/>
                    </w:rPr>
                    <w:t>VNAllshare</w:t>
                  </w:r>
                  <w:proofErr w:type="spellEnd"/>
                </w:p>
              </w:tc>
              <w:tc>
                <w:tcPr>
                  <w:tcW w:w="879" w:type="dxa"/>
                  <w:tcBorders>
                    <w:left w:val="single" w:sz="4"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6.27%</w:t>
                  </w:r>
                </w:p>
              </w:tc>
              <w:tc>
                <w:tcPr>
                  <w:tcW w:w="879"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8.94%</w:t>
                  </w:r>
                </w:p>
              </w:tc>
              <w:tc>
                <w:tcPr>
                  <w:tcW w:w="879"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16.37%</w:t>
                  </w:r>
                </w:p>
              </w:tc>
              <w:tc>
                <w:tcPr>
                  <w:tcW w:w="879"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26.16%</w:t>
                  </w:r>
                </w:p>
              </w:tc>
              <w:tc>
                <w:tcPr>
                  <w:tcW w:w="879"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32.71%</w:t>
                  </w:r>
                </w:p>
              </w:tc>
            </w:tr>
          </w:tbl>
          <w:p w:rsidR="004E1251" w:rsidRPr="00CE5502" w:rsidRDefault="004E1251" w:rsidP="001C201D">
            <w:pPr>
              <w:jc w:val="center"/>
              <w:rPr>
                <w:rFonts w:ascii="Times New Roman" w:hAnsi="Times New Roman" w:cs="Times New Roman"/>
                <w:b/>
                <w:sz w:val="16"/>
                <w:szCs w:val="18"/>
              </w:rPr>
            </w:pPr>
          </w:p>
        </w:tc>
      </w:tr>
      <w:tr w:rsidR="004E1251" w:rsidRPr="006D2F55" w:rsidTr="00474BB6">
        <w:trPr>
          <w:gridAfter w:val="1"/>
          <w:wAfter w:w="49" w:type="dxa"/>
          <w:trHeight w:hRule="exact" w:val="302"/>
          <w:jc w:val="center"/>
        </w:trPr>
        <w:tc>
          <w:tcPr>
            <w:tcW w:w="5776" w:type="dxa"/>
            <w:gridSpan w:val="4"/>
            <w:vMerge/>
          </w:tcPr>
          <w:p w:rsidR="004E1251" w:rsidRDefault="004E1251" w:rsidP="00BC4093">
            <w:pPr>
              <w:rPr>
                <w:rFonts w:eastAsia="Times New Roman" w:cs="Times New Roman"/>
                <w:sz w:val="16"/>
                <w:szCs w:val="16"/>
              </w:rPr>
            </w:pPr>
          </w:p>
        </w:tc>
        <w:tc>
          <w:tcPr>
            <w:tcW w:w="5436" w:type="dxa"/>
            <w:gridSpan w:val="4"/>
            <w:shd w:val="clear" w:color="auto" w:fill="0070C0"/>
            <w:vAlign w:val="center"/>
          </w:tcPr>
          <w:p w:rsidR="004E1251" w:rsidRPr="00CE5502" w:rsidRDefault="00F26A05" w:rsidP="008458BE">
            <w:pPr>
              <w:rPr>
                <w:rFonts w:ascii="Times New Roman" w:hAnsi="Times New Roman" w:cs="Times New Roman"/>
                <w:b/>
                <w:sz w:val="16"/>
                <w:szCs w:val="18"/>
              </w:rPr>
            </w:pPr>
            <w:r w:rsidRPr="006D2F55">
              <w:rPr>
                <w:rFonts w:ascii="Times New Roman" w:hAnsi="Times New Roman" w:cs="Times New Roman"/>
                <w:b/>
                <w:color w:val="FFFFFF" w:themeColor="background1"/>
              </w:rPr>
              <w:t xml:space="preserve">Correlation </w:t>
            </w:r>
            <w:r>
              <w:rPr>
                <w:rFonts w:ascii="Times New Roman" w:hAnsi="Times New Roman" w:cs="Times New Roman"/>
                <w:b/>
                <w:color w:val="FFFFFF" w:themeColor="background1"/>
              </w:rPr>
              <w:t>with VN</w:t>
            </w:r>
            <w:r w:rsidR="008458BE">
              <w:rPr>
                <w:rFonts w:ascii="Times New Roman" w:hAnsi="Times New Roman" w:cs="Times New Roman"/>
                <w:b/>
                <w:color w:val="FFFFFF" w:themeColor="background1"/>
              </w:rPr>
              <w:t xml:space="preserve"> </w:t>
            </w:r>
            <w:r>
              <w:rPr>
                <w:rFonts w:ascii="Times New Roman" w:hAnsi="Times New Roman" w:cs="Times New Roman"/>
                <w:b/>
                <w:color w:val="FFFFFF" w:themeColor="background1"/>
              </w:rPr>
              <w:t>Index</w:t>
            </w:r>
          </w:p>
        </w:tc>
      </w:tr>
      <w:tr w:rsidR="004E1251" w:rsidRPr="006D2F55" w:rsidTr="00474BB6">
        <w:trPr>
          <w:gridAfter w:val="1"/>
          <w:wAfter w:w="49" w:type="dxa"/>
          <w:trHeight w:hRule="exact" w:val="875"/>
          <w:jc w:val="center"/>
        </w:trPr>
        <w:tc>
          <w:tcPr>
            <w:tcW w:w="5776" w:type="dxa"/>
            <w:gridSpan w:val="4"/>
            <w:vMerge/>
          </w:tcPr>
          <w:p w:rsidR="004E1251" w:rsidRDefault="004E1251" w:rsidP="00BC4093">
            <w:pPr>
              <w:rPr>
                <w:rFonts w:eastAsia="Times New Roman" w:cs="Times New Roman"/>
                <w:sz w:val="16"/>
                <w:szCs w:val="16"/>
              </w:rPr>
            </w:pPr>
          </w:p>
        </w:tc>
        <w:tc>
          <w:tcPr>
            <w:tcW w:w="5436" w:type="dxa"/>
            <w:gridSpan w:val="4"/>
            <w:vAlign w:val="center"/>
          </w:tcPr>
          <w:tbl>
            <w:tblPr>
              <w:tblW w:w="5274" w:type="dxa"/>
              <w:tblInd w:w="1"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879"/>
              <w:gridCol w:w="879"/>
              <w:gridCol w:w="879"/>
              <w:gridCol w:w="879"/>
              <w:gridCol w:w="879"/>
              <w:gridCol w:w="879"/>
            </w:tblGrid>
            <w:tr w:rsidR="00F26A05" w:rsidRPr="00C84839" w:rsidTr="00C409A5">
              <w:trPr>
                <w:trHeight w:val="283"/>
              </w:trPr>
              <w:tc>
                <w:tcPr>
                  <w:tcW w:w="879" w:type="dxa"/>
                  <w:tcBorders>
                    <w:right w:val="single" w:sz="4" w:space="0" w:color="0070C0"/>
                  </w:tcBorders>
                  <w:shd w:val="clear" w:color="auto" w:fill="auto"/>
                  <w:noWrap/>
                  <w:vAlign w:val="center"/>
                  <w:hideMark/>
                </w:tcPr>
                <w:p w:rsidR="00F26A05" w:rsidRPr="004260EC" w:rsidRDefault="00F26A05" w:rsidP="000F4C2D">
                  <w:pPr>
                    <w:spacing w:after="0" w:line="240" w:lineRule="auto"/>
                    <w:jc w:val="center"/>
                    <w:rPr>
                      <w:rFonts w:ascii="Times New Roman" w:eastAsia="Times New Roman" w:hAnsi="Times New Roman" w:cs="Times New Roman"/>
                      <w:sz w:val="14"/>
                      <w:szCs w:val="14"/>
                    </w:rPr>
                  </w:pPr>
                </w:p>
              </w:tc>
              <w:tc>
                <w:tcPr>
                  <w:tcW w:w="879" w:type="dxa"/>
                  <w:tcBorders>
                    <w:left w:val="single" w:sz="4" w:space="0" w:color="0070C0"/>
                  </w:tcBorders>
                  <w:shd w:val="clear" w:color="auto" w:fill="auto"/>
                  <w:noWrap/>
                  <w:vAlign w:val="center"/>
                  <w:hideMark/>
                </w:tcPr>
                <w:p w:rsidR="00F26A05" w:rsidRPr="00F26A05" w:rsidRDefault="00F26A05" w:rsidP="00F26A05">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months</w:t>
                  </w:r>
                </w:p>
              </w:tc>
              <w:tc>
                <w:tcPr>
                  <w:tcW w:w="879" w:type="dxa"/>
                  <w:shd w:val="clear" w:color="auto" w:fill="auto"/>
                  <w:noWrap/>
                  <w:vAlign w:val="center"/>
                  <w:hideMark/>
                </w:tcPr>
                <w:p w:rsidR="00F26A05" w:rsidRPr="00F26A05" w:rsidRDefault="00F26A05" w:rsidP="00F26A05">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6 months</w:t>
                  </w:r>
                </w:p>
              </w:tc>
              <w:tc>
                <w:tcPr>
                  <w:tcW w:w="879" w:type="dxa"/>
                  <w:shd w:val="clear" w:color="auto" w:fill="auto"/>
                  <w:noWrap/>
                  <w:vAlign w:val="center"/>
                  <w:hideMark/>
                </w:tcPr>
                <w:p w:rsidR="00F26A05" w:rsidRPr="00F26A05" w:rsidRDefault="00F26A05" w:rsidP="00F26A05">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1 year</w:t>
                  </w:r>
                </w:p>
              </w:tc>
              <w:tc>
                <w:tcPr>
                  <w:tcW w:w="879" w:type="dxa"/>
                  <w:shd w:val="clear" w:color="auto" w:fill="auto"/>
                  <w:noWrap/>
                  <w:vAlign w:val="center"/>
                  <w:hideMark/>
                </w:tcPr>
                <w:p w:rsidR="00F26A05" w:rsidRPr="00F26A05" w:rsidRDefault="00F26A05" w:rsidP="00F26A05">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years</w:t>
                  </w:r>
                </w:p>
              </w:tc>
              <w:tc>
                <w:tcPr>
                  <w:tcW w:w="879" w:type="dxa"/>
                  <w:shd w:val="clear" w:color="auto" w:fill="auto"/>
                  <w:noWrap/>
                  <w:vAlign w:val="center"/>
                  <w:hideMark/>
                </w:tcPr>
                <w:p w:rsidR="00F26A05" w:rsidRPr="00F26A05" w:rsidRDefault="00F26A05" w:rsidP="00F26A05">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5 years</w:t>
                  </w:r>
                </w:p>
              </w:tc>
            </w:tr>
            <w:tr w:rsidR="001D5280" w:rsidRPr="00C84839" w:rsidTr="00006CAA">
              <w:trPr>
                <w:trHeight w:val="283"/>
              </w:trPr>
              <w:tc>
                <w:tcPr>
                  <w:tcW w:w="879" w:type="dxa"/>
                  <w:tcBorders>
                    <w:right w:val="single" w:sz="4" w:space="0" w:color="0070C0"/>
                  </w:tcBorders>
                  <w:shd w:val="clear" w:color="auto" w:fill="auto"/>
                  <w:noWrap/>
                  <w:vAlign w:val="center"/>
                  <w:hideMark/>
                </w:tcPr>
                <w:p w:rsidR="001D5280" w:rsidRPr="00ED5437" w:rsidRDefault="001D5280" w:rsidP="001D5280">
                  <w:pPr>
                    <w:spacing w:after="0" w:line="240" w:lineRule="auto"/>
                    <w:jc w:val="center"/>
                    <w:rPr>
                      <w:rFonts w:ascii="Times New Roman" w:eastAsia="Times New Roman" w:hAnsi="Times New Roman" w:cs="Times New Roman"/>
                      <w:b/>
                      <w:bCs/>
                      <w:color w:val="000000"/>
                      <w:sz w:val="13"/>
                      <w:szCs w:val="13"/>
                    </w:rPr>
                  </w:pPr>
                  <w:proofErr w:type="spellStart"/>
                  <w:r w:rsidRPr="00ED5437">
                    <w:rPr>
                      <w:rFonts w:ascii="Times New Roman" w:eastAsia="Times New Roman" w:hAnsi="Times New Roman" w:cs="Times New Roman"/>
                      <w:b/>
                      <w:bCs/>
                      <w:color w:val="000000"/>
                      <w:sz w:val="13"/>
                      <w:szCs w:val="13"/>
                    </w:rPr>
                    <w:t>VNAll</w:t>
                  </w:r>
                  <w:r>
                    <w:rPr>
                      <w:rFonts w:ascii="Times New Roman" w:eastAsia="Times New Roman" w:hAnsi="Times New Roman" w:cs="Times New Roman"/>
                      <w:b/>
                      <w:bCs/>
                      <w:color w:val="000000"/>
                      <w:sz w:val="13"/>
                      <w:szCs w:val="13"/>
                    </w:rPr>
                    <w:t>share</w:t>
                  </w:r>
                  <w:proofErr w:type="spellEnd"/>
                </w:p>
              </w:tc>
              <w:tc>
                <w:tcPr>
                  <w:tcW w:w="879" w:type="dxa"/>
                  <w:tcBorders>
                    <w:left w:val="single" w:sz="4"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97.73%</w:t>
                  </w:r>
                </w:p>
              </w:tc>
              <w:tc>
                <w:tcPr>
                  <w:tcW w:w="879"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97.53%</w:t>
                  </w:r>
                </w:p>
              </w:tc>
              <w:tc>
                <w:tcPr>
                  <w:tcW w:w="879"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97.68%</w:t>
                  </w:r>
                </w:p>
              </w:tc>
              <w:tc>
                <w:tcPr>
                  <w:tcW w:w="879"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95.84%</w:t>
                  </w:r>
                </w:p>
              </w:tc>
              <w:tc>
                <w:tcPr>
                  <w:tcW w:w="879" w:type="dxa"/>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94.51%</w:t>
                  </w:r>
                </w:p>
              </w:tc>
            </w:tr>
          </w:tbl>
          <w:p w:rsidR="004E1251" w:rsidRPr="00CE5502" w:rsidRDefault="004E1251" w:rsidP="001C201D">
            <w:pPr>
              <w:jc w:val="center"/>
              <w:rPr>
                <w:rFonts w:ascii="Times New Roman" w:hAnsi="Times New Roman" w:cs="Times New Roman"/>
                <w:b/>
                <w:sz w:val="16"/>
                <w:szCs w:val="18"/>
              </w:rPr>
            </w:pPr>
          </w:p>
        </w:tc>
      </w:tr>
      <w:tr w:rsidR="00FD097B" w:rsidRPr="006D2F55" w:rsidTr="00474BB6">
        <w:tblPrEx>
          <w:tblCellMar>
            <w:left w:w="108" w:type="dxa"/>
            <w:right w:w="108" w:type="dxa"/>
          </w:tblCellMar>
        </w:tblPrEx>
        <w:trPr>
          <w:gridAfter w:val="1"/>
          <w:wAfter w:w="49" w:type="dxa"/>
          <w:trHeight w:hRule="exact" w:val="298"/>
          <w:jc w:val="center"/>
        </w:trPr>
        <w:tc>
          <w:tcPr>
            <w:tcW w:w="5455" w:type="dxa"/>
            <w:shd w:val="clear" w:color="auto" w:fill="0070C0"/>
            <w:vAlign w:val="center"/>
          </w:tcPr>
          <w:p w:rsidR="00FD097B" w:rsidRPr="00C84839" w:rsidRDefault="00F26A05" w:rsidP="00BC4093">
            <w:pPr>
              <w:tabs>
                <w:tab w:val="center" w:pos="2700"/>
                <w:tab w:val="left" w:pos="4236"/>
              </w:tabs>
              <w:rPr>
                <w:rFonts w:ascii="Times New Roman" w:hAnsi="Times New Roman" w:cs="Times New Roman"/>
                <w:b/>
                <w:color w:val="FFFFFF" w:themeColor="background1"/>
              </w:rPr>
            </w:pPr>
            <w:r w:rsidRPr="00C84839">
              <w:rPr>
                <w:rFonts w:ascii="Times New Roman" w:hAnsi="Times New Roman" w:cs="Times New Roman"/>
                <w:b/>
                <w:color w:val="FFFFFF" w:themeColor="background1"/>
              </w:rPr>
              <w:t>Ind</w:t>
            </w:r>
            <w:r>
              <w:rPr>
                <w:rFonts w:ascii="Times New Roman" w:hAnsi="Times New Roman" w:cs="Times New Roman"/>
                <w:b/>
                <w:color w:val="FFFFFF" w:themeColor="background1"/>
              </w:rPr>
              <w:t>ex</w:t>
            </w:r>
            <w:r w:rsidRPr="00C84839">
              <w:rPr>
                <w:rFonts w:ascii="Times New Roman" w:hAnsi="Times New Roman" w:cs="Times New Roman"/>
                <w:b/>
                <w:color w:val="FFFFFF" w:themeColor="background1"/>
              </w:rPr>
              <w:t xml:space="preserve"> Performance</w:t>
            </w:r>
          </w:p>
        </w:tc>
        <w:tc>
          <w:tcPr>
            <w:tcW w:w="5757" w:type="dxa"/>
            <w:gridSpan w:val="7"/>
            <w:vAlign w:val="center"/>
          </w:tcPr>
          <w:p w:rsidR="00FD097B" w:rsidRPr="006D2F55" w:rsidRDefault="00FD097B" w:rsidP="00BC4093">
            <w:pPr>
              <w:tabs>
                <w:tab w:val="center" w:pos="2700"/>
                <w:tab w:val="left" w:pos="4236"/>
              </w:tabs>
              <w:rPr>
                <w:rFonts w:ascii="Times New Roman" w:hAnsi="Times New Roman" w:cs="Times New Roman"/>
              </w:rPr>
            </w:pPr>
          </w:p>
        </w:tc>
      </w:tr>
      <w:tr w:rsidR="00FD097B" w:rsidRPr="006D2F55" w:rsidTr="00474BB6">
        <w:tblPrEx>
          <w:tblCellMar>
            <w:left w:w="108" w:type="dxa"/>
            <w:right w:w="108" w:type="dxa"/>
          </w:tblCellMar>
        </w:tblPrEx>
        <w:trPr>
          <w:gridAfter w:val="1"/>
          <w:wAfter w:w="49" w:type="dxa"/>
          <w:trHeight w:hRule="exact" w:val="1099"/>
          <w:jc w:val="center"/>
        </w:trPr>
        <w:tc>
          <w:tcPr>
            <w:tcW w:w="11212" w:type="dxa"/>
            <w:gridSpan w:val="8"/>
            <w:vAlign w:val="center"/>
          </w:tcPr>
          <w:tbl>
            <w:tblPr>
              <w:tblW w:w="10572" w:type="dxa"/>
              <w:jc w:val="center"/>
              <w:tblBorders>
                <w:top w:val="single" w:sz="12" w:space="0" w:color="0070C0"/>
                <w:bottom w:val="single" w:sz="12" w:space="0" w:color="0070C0"/>
                <w:insideH w:val="single" w:sz="12" w:space="0" w:color="0070C0"/>
              </w:tblBorders>
              <w:tblLayout w:type="fixed"/>
              <w:tblLook w:val="04A0" w:firstRow="1" w:lastRow="0" w:firstColumn="1" w:lastColumn="0" w:noHBand="0" w:noVBand="1"/>
            </w:tblPr>
            <w:tblGrid>
              <w:gridCol w:w="1140"/>
              <w:gridCol w:w="662"/>
              <w:gridCol w:w="757"/>
              <w:gridCol w:w="696"/>
              <w:gridCol w:w="839"/>
              <w:gridCol w:w="928"/>
              <w:gridCol w:w="928"/>
              <w:gridCol w:w="696"/>
              <w:gridCol w:w="765"/>
              <w:gridCol w:w="772"/>
              <w:gridCol w:w="1237"/>
              <w:gridCol w:w="1152"/>
            </w:tblGrid>
            <w:tr w:rsidR="00CE3185" w:rsidRPr="00F26A05" w:rsidTr="00480531">
              <w:trPr>
                <w:trHeight w:val="268"/>
                <w:jc w:val="center"/>
              </w:trPr>
              <w:tc>
                <w:tcPr>
                  <w:tcW w:w="539" w:type="pct"/>
                  <w:tcBorders>
                    <w:right w:val="single" w:sz="12" w:space="0" w:color="0070C0"/>
                  </w:tcBorders>
                  <w:vAlign w:val="center"/>
                </w:tcPr>
                <w:p w:rsidR="00CE3185" w:rsidRPr="00C572C8" w:rsidRDefault="00CE3185" w:rsidP="000F4C2D">
                  <w:pPr>
                    <w:spacing w:after="0" w:line="240" w:lineRule="auto"/>
                    <w:jc w:val="center"/>
                    <w:rPr>
                      <w:rFonts w:ascii="Times New Roman" w:eastAsia="Times New Roman" w:hAnsi="Times New Roman" w:cs="Times New Roman"/>
                      <w:sz w:val="16"/>
                      <w:szCs w:val="16"/>
                    </w:rPr>
                  </w:pPr>
                </w:p>
              </w:tc>
              <w:tc>
                <w:tcPr>
                  <w:tcW w:w="3331" w:type="pct"/>
                  <w:gridSpan w:val="9"/>
                  <w:tcBorders>
                    <w:left w:val="single" w:sz="12" w:space="0" w:color="0070C0"/>
                    <w:right w:val="single" w:sz="12" w:space="0" w:color="0070C0"/>
                  </w:tcBorders>
                  <w:shd w:val="clear" w:color="auto" w:fill="auto"/>
                  <w:noWrap/>
                  <w:vAlign w:val="center"/>
                  <w:hideMark/>
                </w:tcPr>
                <w:p w:rsidR="00CE3185" w:rsidRPr="00F26A05" w:rsidRDefault="00CE3185" w:rsidP="00F26A05">
                  <w:pPr>
                    <w:spacing w:after="0" w:line="240" w:lineRule="auto"/>
                    <w:jc w:val="center"/>
                    <w:rPr>
                      <w:rFonts w:ascii="Times New Roman" w:eastAsia="Times New Roman" w:hAnsi="Times New Roman" w:cs="Times New Roman"/>
                      <w:b/>
                      <w:bCs/>
                      <w:sz w:val="14"/>
                      <w:szCs w:val="14"/>
                    </w:rPr>
                  </w:pPr>
                  <w:r w:rsidRPr="00F26A05">
                    <w:rPr>
                      <w:rFonts w:ascii="Times New Roman" w:eastAsia="Times New Roman" w:hAnsi="Times New Roman" w:cs="Times New Roman"/>
                      <w:b/>
                      <w:bCs/>
                      <w:sz w:val="14"/>
                      <w:szCs w:val="14"/>
                    </w:rPr>
                    <w:t>Performance (%)</w:t>
                  </w:r>
                </w:p>
              </w:tc>
              <w:tc>
                <w:tcPr>
                  <w:tcW w:w="1130" w:type="pct"/>
                  <w:gridSpan w:val="2"/>
                  <w:tcBorders>
                    <w:left w:val="single" w:sz="12" w:space="0" w:color="0070C0"/>
                  </w:tcBorders>
                  <w:shd w:val="clear" w:color="auto" w:fill="auto"/>
                  <w:noWrap/>
                  <w:vAlign w:val="center"/>
                  <w:hideMark/>
                </w:tcPr>
                <w:p w:rsidR="00CE3185" w:rsidRPr="00F26A05" w:rsidRDefault="00CE3185" w:rsidP="00F26A05">
                  <w:pPr>
                    <w:spacing w:after="0" w:line="240" w:lineRule="auto"/>
                    <w:jc w:val="center"/>
                    <w:rPr>
                      <w:rFonts w:ascii="Times New Roman" w:eastAsia="Times New Roman" w:hAnsi="Times New Roman" w:cs="Times New Roman"/>
                      <w:b/>
                      <w:bCs/>
                      <w:sz w:val="14"/>
                      <w:szCs w:val="14"/>
                    </w:rPr>
                  </w:pPr>
                  <w:r w:rsidRPr="00F26A05">
                    <w:rPr>
                      <w:rFonts w:ascii="Times New Roman" w:eastAsia="Times New Roman" w:hAnsi="Times New Roman" w:cs="Times New Roman"/>
                      <w:b/>
                      <w:bCs/>
                      <w:sz w:val="14"/>
                      <w:szCs w:val="14"/>
                    </w:rPr>
                    <w:t>Annualized Performance (%)</w:t>
                  </w:r>
                </w:p>
              </w:tc>
            </w:tr>
            <w:tr w:rsidR="00A106F7" w:rsidRPr="00F26A05" w:rsidTr="00212AB5">
              <w:trPr>
                <w:trHeight w:val="255"/>
                <w:jc w:val="center"/>
              </w:trPr>
              <w:tc>
                <w:tcPr>
                  <w:tcW w:w="539" w:type="pct"/>
                  <w:tcBorders>
                    <w:right w:val="single" w:sz="12" w:space="0" w:color="0070C0"/>
                  </w:tcBorders>
                  <w:vAlign w:val="center"/>
                </w:tcPr>
                <w:p w:rsidR="00A106F7" w:rsidRPr="001404C8" w:rsidRDefault="00A106F7" w:rsidP="000F4C2D">
                  <w:pPr>
                    <w:spacing w:after="0" w:line="240" w:lineRule="auto"/>
                    <w:jc w:val="center"/>
                    <w:rPr>
                      <w:rFonts w:ascii="Times New Roman" w:eastAsia="Times New Roman" w:hAnsi="Times New Roman" w:cs="Times New Roman"/>
                      <w:b/>
                      <w:bCs/>
                      <w:color w:val="000000"/>
                      <w:sz w:val="14"/>
                      <w:szCs w:val="14"/>
                    </w:rPr>
                  </w:pPr>
                </w:p>
              </w:tc>
              <w:tc>
                <w:tcPr>
                  <w:tcW w:w="313" w:type="pct"/>
                  <w:tcBorders>
                    <w:left w:val="single" w:sz="12" w:space="0" w:color="0070C0"/>
                  </w:tcBorders>
                  <w:shd w:val="clear" w:color="auto" w:fill="auto"/>
                  <w:noWrap/>
                  <w:vAlign w:val="center"/>
                  <w:hideMark/>
                </w:tcPr>
                <w:p w:rsidR="00A106F7" w:rsidRPr="0048469C" w:rsidRDefault="00A106F7" w:rsidP="00FE3566">
                  <w:pPr>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sidR="00445A53">
                    <w:rPr>
                      <w:rFonts w:ascii="Times New Roman" w:eastAsia="Times New Roman" w:hAnsi="Times New Roman" w:cs="Times New Roman"/>
                      <w:b/>
                      <w:bCs/>
                      <w:sz w:val="14"/>
                      <w:szCs w:val="14"/>
                    </w:rPr>
                    <w:t>6</w:t>
                  </w:r>
                </w:p>
              </w:tc>
              <w:tc>
                <w:tcPr>
                  <w:tcW w:w="358" w:type="pct"/>
                  <w:shd w:val="clear" w:color="auto" w:fill="auto"/>
                  <w:noWrap/>
                  <w:vAlign w:val="center"/>
                  <w:hideMark/>
                </w:tcPr>
                <w:p w:rsidR="00A106F7" w:rsidRPr="0048469C" w:rsidRDefault="00A106F7" w:rsidP="00FE3566">
                  <w:pPr>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sidR="00445A53">
                    <w:rPr>
                      <w:rFonts w:ascii="Times New Roman" w:eastAsia="Times New Roman" w:hAnsi="Times New Roman" w:cs="Times New Roman"/>
                      <w:b/>
                      <w:bCs/>
                      <w:sz w:val="14"/>
                      <w:szCs w:val="14"/>
                    </w:rPr>
                    <w:t>7</w:t>
                  </w:r>
                </w:p>
              </w:tc>
              <w:tc>
                <w:tcPr>
                  <w:tcW w:w="329" w:type="pct"/>
                  <w:tcBorders>
                    <w:right w:val="single" w:sz="12" w:space="0" w:color="0070C0"/>
                  </w:tcBorders>
                  <w:shd w:val="clear" w:color="auto" w:fill="auto"/>
                  <w:noWrap/>
                  <w:vAlign w:val="center"/>
                  <w:hideMark/>
                </w:tcPr>
                <w:p w:rsidR="00A106F7" w:rsidRPr="0048469C" w:rsidRDefault="00A106F7" w:rsidP="00FE3566">
                  <w:pPr>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sidR="00445A53">
                    <w:rPr>
                      <w:rFonts w:ascii="Times New Roman" w:eastAsia="Times New Roman" w:hAnsi="Times New Roman" w:cs="Times New Roman"/>
                      <w:b/>
                      <w:bCs/>
                      <w:sz w:val="14"/>
                      <w:szCs w:val="14"/>
                    </w:rPr>
                    <w:t>8</w:t>
                  </w:r>
                </w:p>
              </w:tc>
              <w:tc>
                <w:tcPr>
                  <w:tcW w:w="397" w:type="pct"/>
                  <w:tcBorders>
                    <w:left w:val="single" w:sz="12" w:space="0" w:color="0070C0"/>
                  </w:tcBorders>
                  <w:shd w:val="clear" w:color="auto" w:fill="auto"/>
                  <w:noWrap/>
                  <w:vAlign w:val="center"/>
                  <w:hideMark/>
                </w:tcPr>
                <w:p w:rsidR="00A106F7" w:rsidRPr="0048469C" w:rsidRDefault="00A106F7" w:rsidP="00650D87">
                  <w:pPr>
                    <w:spacing w:after="0" w:line="240" w:lineRule="auto"/>
                    <w:jc w:val="center"/>
                    <w:rPr>
                      <w:rFonts w:ascii="Times New Roman" w:eastAsia="Times New Roman" w:hAnsi="Times New Roman" w:cs="Times New Roman"/>
                      <w:b/>
                      <w:bCs/>
                      <w:color w:val="000000"/>
                      <w:sz w:val="14"/>
                      <w:szCs w:val="16"/>
                    </w:rPr>
                  </w:pPr>
                  <w:r>
                    <w:rPr>
                      <w:rFonts w:ascii="Times New Roman" w:eastAsia="Times New Roman" w:hAnsi="Times New Roman" w:cs="Times New Roman"/>
                      <w:b/>
                      <w:bCs/>
                      <w:color w:val="000000"/>
                      <w:sz w:val="14"/>
                      <w:szCs w:val="16"/>
                    </w:rPr>
                    <w:t>1</w:t>
                  </w:r>
                  <w:r w:rsidRPr="0048469C">
                    <w:rPr>
                      <w:rFonts w:ascii="Times New Roman" w:eastAsia="Times New Roman" w:hAnsi="Times New Roman" w:cs="Times New Roman"/>
                      <w:b/>
                      <w:bCs/>
                      <w:color w:val="000000"/>
                      <w:sz w:val="14"/>
                      <w:szCs w:val="16"/>
                    </w:rPr>
                    <w:t xml:space="preserve"> month</w:t>
                  </w:r>
                </w:p>
              </w:tc>
              <w:tc>
                <w:tcPr>
                  <w:tcW w:w="439" w:type="pct"/>
                  <w:shd w:val="clear" w:color="auto" w:fill="auto"/>
                  <w:noWrap/>
                  <w:vAlign w:val="center"/>
                  <w:hideMark/>
                </w:tcPr>
                <w:p w:rsidR="00A106F7" w:rsidRPr="0048469C" w:rsidRDefault="00A106F7" w:rsidP="00650D87">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months</w:t>
                  </w:r>
                </w:p>
              </w:tc>
              <w:tc>
                <w:tcPr>
                  <w:tcW w:w="439" w:type="pct"/>
                  <w:shd w:val="clear" w:color="auto" w:fill="auto"/>
                  <w:noWrap/>
                  <w:vAlign w:val="center"/>
                  <w:hideMark/>
                </w:tcPr>
                <w:p w:rsidR="00A106F7" w:rsidRPr="0048469C" w:rsidRDefault="00A106F7" w:rsidP="00650D87">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6 months</w:t>
                  </w:r>
                </w:p>
              </w:tc>
              <w:tc>
                <w:tcPr>
                  <w:tcW w:w="329" w:type="pct"/>
                  <w:shd w:val="clear" w:color="auto" w:fill="auto"/>
                  <w:noWrap/>
                  <w:vAlign w:val="center"/>
                  <w:hideMark/>
                </w:tcPr>
                <w:p w:rsidR="00A106F7" w:rsidRPr="0048469C" w:rsidRDefault="00A106F7" w:rsidP="00650D87">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1 year</w:t>
                  </w:r>
                </w:p>
              </w:tc>
              <w:tc>
                <w:tcPr>
                  <w:tcW w:w="362" w:type="pct"/>
                  <w:shd w:val="clear" w:color="auto" w:fill="auto"/>
                  <w:noWrap/>
                  <w:vAlign w:val="center"/>
                  <w:hideMark/>
                </w:tcPr>
                <w:p w:rsidR="00A106F7" w:rsidRPr="0048469C" w:rsidRDefault="00A106F7" w:rsidP="00650D87">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years</w:t>
                  </w:r>
                </w:p>
              </w:tc>
              <w:tc>
                <w:tcPr>
                  <w:tcW w:w="365" w:type="pct"/>
                  <w:tcBorders>
                    <w:right w:val="single" w:sz="12" w:space="0" w:color="0070C0"/>
                  </w:tcBorders>
                  <w:shd w:val="clear" w:color="auto" w:fill="auto"/>
                  <w:noWrap/>
                  <w:vAlign w:val="center"/>
                  <w:hideMark/>
                </w:tcPr>
                <w:p w:rsidR="00A106F7" w:rsidRPr="0048469C" w:rsidRDefault="00A106F7" w:rsidP="00650D87">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5 years</w:t>
                  </w:r>
                </w:p>
              </w:tc>
              <w:tc>
                <w:tcPr>
                  <w:tcW w:w="585" w:type="pct"/>
                  <w:tcBorders>
                    <w:left w:val="single" w:sz="12" w:space="0" w:color="0070C0"/>
                  </w:tcBorders>
                  <w:shd w:val="clear" w:color="auto" w:fill="auto"/>
                  <w:noWrap/>
                  <w:vAlign w:val="center"/>
                  <w:hideMark/>
                </w:tcPr>
                <w:p w:rsidR="00A106F7" w:rsidRPr="0048469C" w:rsidRDefault="00A106F7" w:rsidP="00650D87">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years</w:t>
                  </w:r>
                </w:p>
              </w:tc>
              <w:tc>
                <w:tcPr>
                  <w:tcW w:w="545" w:type="pct"/>
                  <w:shd w:val="clear" w:color="auto" w:fill="auto"/>
                  <w:noWrap/>
                  <w:vAlign w:val="center"/>
                  <w:hideMark/>
                </w:tcPr>
                <w:p w:rsidR="00A106F7" w:rsidRPr="0048469C" w:rsidRDefault="00A106F7" w:rsidP="00650D87">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5 years</w:t>
                  </w:r>
                </w:p>
              </w:tc>
            </w:tr>
            <w:tr w:rsidR="001D5280" w:rsidRPr="00F26A05" w:rsidTr="00615ADB">
              <w:trPr>
                <w:trHeight w:val="274"/>
                <w:jc w:val="center"/>
              </w:trPr>
              <w:tc>
                <w:tcPr>
                  <w:tcW w:w="539" w:type="pct"/>
                  <w:tcBorders>
                    <w:right w:val="single" w:sz="12" w:space="0" w:color="0070C0"/>
                  </w:tcBorders>
                  <w:vAlign w:val="center"/>
                </w:tcPr>
                <w:p w:rsidR="001D5280"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proofErr w:type="spellStart"/>
                  <w:r w:rsidRPr="00763C82">
                    <w:rPr>
                      <w:rFonts w:ascii="Times New Roman" w:eastAsia="Times New Roman" w:hAnsi="Times New Roman" w:cs="Times New Roman"/>
                      <w:b/>
                      <w:bCs/>
                      <w:color w:val="000000"/>
                      <w:sz w:val="14"/>
                      <w:szCs w:val="14"/>
                    </w:rPr>
                    <w:t>VN</w:t>
                  </w:r>
                  <w:r>
                    <w:rPr>
                      <w:rFonts w:ascii="Times New Roman" w:eastAsia="Times New Roman" w:hAnsi="Times New Roman" w:cs="Times New Roman"/>
                      <w:b/>
                      <w:bCs/>
                      <w:color w:val="000000"/>
                      <w:sz w:val="14"/>
                      <w:szCs w:val="14"/>
                    </w:rPr>
                    <w:t>Allshare</w:t>
                  </w:r>
                  <w:proofErr w:type="spellEnd"/>
                </w:p>
              </w:tc>
              <w:tc>
                <w:tcPr>
                  <w:tcW w:w="313" w:type="pct"/>
                  <w:tcBorders>
                    <w:left w:val="single" w:sz="12"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7.46%</w:t>
                  </w:r>
                </w:p>
              </w:tc>
              <w:tc>
                <w:tcPr>
                  <w:tcW w:w="358"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48.27%</w:t>
                  </w:r>
                </w:p>
              </w:tc>
              <w:tc>
                <w:tcPr>
                  <w:tcW w:w="329" w:type="pct"/>
                  <w:tcBorders>
                    <w:right w:val="single" w:sz="12"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-12.02%</w:t>
                  </w:r>
                </w:p>
              </w:tc>
              <w:tc>
                <w:tcPr>
                  <w:tcW w:w="397" w:type="pct"/>
                  <w:tcBorders>
                    <w:left w:val="single" w:sz="12"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-1.80%</w:t>
                  </w:r>
                </w:p>
              </w:tc>
              <w:tc>
                <w:tcPr>
                  <w:tcW w:w="439"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-2.97%</w:t>
                  </w:r>
                </w:p>
              </w:tc>
              <w:tc>
                <w:tcPr>
                  <w:tcW w:w="439"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-0.10%</w:t>
                  </w:r>
                </w:p>
              </w:tc>
              <w:tc>
                <w:tcPr>
                  <w:tcW w:w="329"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-4.99%</w:t>
                  </w:r>
                </w:p>
              </w:tc>
              <w:tc>
                <w:tcPr>
                  <w:tcW w:w="362"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39.35%</w:t>
                  </w:r>
                </w:p>
              </w:tc>
              <w:tc>
                <w:tcPr>
                  <w:tcW w:w="365" w:type="pct"/>
                  <w:tcBorders>
                    <w:right w:val="single" w:sz="12"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54.08%</w:t>
                  </w:r>
                </w:p>
              </w:tc>
              <w:tc>
                <w:tcPr>
                  <w:tcW w:w="585" w:type="pct"/>
                  <w:tcBorders>
                    <w:left w:val="single" w:sz="12" w:space="0" w:color="0070C0"/>
                  </w:tcBorders>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11.70%</w:t>
                  </w:r>
                </w:p>
              </w:tc>
              <w:tc>
                <w:tcPr>
                  <w:tcW w:w="545" w:type="pct"/>
                  <w:shd w:val="clear" w:color="auto" w:fill="auto"/>
                  <w:noWrap/>
                  <w:vAlign w:val="center"/>
                  <w:hideMark/>
                </w:tcPr>
                <w:p w:rsidR="001D5280" w:rsidRPr="00E36F05"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9.03%</w:t>
                  </w:r>
                </w:p>
              </w:tc>
            </w:tr>
          </w:tbl>
          <w:p w:rsidR="00FD097B" w:rsidRPr="006D2F55" w:rsidRDefault="00FD097B" w:rsidP="00D6169B">
            <w:pPr>
              <w:jc w:val="center"/>
              <w:rPr>
                <w:rFonts w:ascii="Arial" w:eastAsia="Times New Roman" w:hAnsi="Arial" w:cs="Arial"/>
                <w:color w:val="000000"/>
                <w:sz w:val="24"/>
                <w:szCs w:val="24"/>
              </w:rPr>
            </w:pPr>
          </w:p>
        </w:tc>
      </w:tr>
      <w:tr w:rsidR="00FD097B" w:rsidRPr="006D2F55" w:rsidTr="00474BB6">
        <w:tblPrEx>
          <w:tblCellMar>
            <w:left w:w="108" w:type="dxa"/>
            <w:right w:w="108" w:type="dxa"/>
          </w:tblCellMar>
        </w:tblPrEx>
        <w:trPr>
          <w:gridAfter w:val="1"/>
          <w:wAfter w:w="49" w:type="dxa"/>
          <w:trHeight w:val="298"/>
          <w:jc w:val="center"/>
        </w:trPr>
        <w:tc>
          <w:tcPr>
            <w:tcW w:w="5455" w:type="dxa"/>
            <w:shd w:val="clear" w:color="auto" w:fill="0070C0"/>
            <w:vAlign w:val="center"/>
          </w:tcPr>
          <w:p w:rsidR="00FD097B" w:rsidRPr="006D2F55" w:rsidRDefault="00A22FD0" w:rsidP="00BC4093">
            <w:pPr>
              <w:rPr>
                <w:rFonts w:ascii="Times New Roman" w:eastAsia="Times New Roman" w:hAnsi="Times New Roman" w:cs="Times New Roman"/>
              </w:rPr>
            </w:pPr>
            <w:r>
              <w:rPr>
                <w:rFonts w:ascii="Times New Roman" w:hAnsi="Times New Roman" w:cs="Times New Roman"/>
                <w:b/>
                <w:color w:val="FFFFFF" w:themeColor="background1"/>
              </w:rPr>
              <w:t>Sector Breakdown</w:t>
            </w:r>
          </w:p>
        </w:tc>
        <w:tc>
          <w:tcPr>
            <w:tcW w:w="5757" w:type="dxa"/>
            <w:gridSpan w:val="7"/>
            <w:shd w:val="clear" w:color="auto" w:fill="0070C0"/>
            <w:vAlign w:val="center"/>
          </w:tcPr>
          <w:p w:rsidR="00FD097B" w:rsidRPr="006D2F55" w:rsidRDefault="00A22FD0" w:rsidP="00682A04">
            <w:pPr>
              <w:rPr>
                <w:rFonts w:ascii="Times New Roman" w:eastAsia="Times New Roman" w:hAnsi="Times New Roman" w:cs="Times New Roman"/>
              </w:rPr>
            </w:pPr>
            <w:r w:rsidRPr="0006583E">
              <w:rPr>
                <w:rFonts w:ascii="Times New Roman" w:eastAsia="Times New Roman" w:hAnsi="Times New Roman" w:cs="Times New Roman"/>
                <w:b/>
                <w:color w:val="FFFFFF" w:themeColor="background1"/>
                <w:szCs w:val="12"/>
              </w:rPr>
              <w:t>Top-10 Constituents of Market Capitalization</w:t>
            </w:r>
          </w:p>
        </w:tc>
      </w:tr>
      <w:tr w:rsidR="00682A04" w:rsidRPr="006D2F55" w:rsidTr="00501B6F">
        <w:tblPrEx>
          <w:tblCellMar>
            <w:left w:w="108" w:type="dxa"/>
            <w:right w:w="108" w:type="dxa"/>
          </w:tblCellMar>
        </w:tblPrEx>
        <w:trPr>
          <w:gridAfter w:val="1"/>
          <w:wAfter w:w="49" w:type="dxa"/>
          <w:trHeight w:hRule="exact" w:val="4303"/>
          <w:jc w:val="center"/>
        </w:trPr>
        <w:tc>
          <w:tcPr>
            <w:tcW w:w="5455" w:type="dxa"/>
          </w:tcPr>
          <w:p w:rsidR="00682A04" w:rsidRPr="006D2F55" w:rsidRDefault="0074250D" w:rsidP="00252690">
            <w:pPr>
              <w:jc w:val="center"/>
              <w:rPr>
                <w:rFonts w:ascii="Arial" w:eastAsia="Times New Roman" w:hAnsi="Arial" w:cs="Arial"/>
              </w:rPr>
            </w:pPr>
            <w:r>
              <w:rPr>
                <w:rFonts w:ascii="Arial" w:eastAsia="Times New Roman" w:hAnsi="Arial" w:cs="Arial"/>
                <w:noProof/>
              </w:rPr>
              <w:drawing>
                <wp:inline distT="0" distB="0" distL="0" distR="0" wp14:anchorId="1C427D83">
                  <wp:extent cx="3469005" cy="26155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9005" cy="2615565"/>
                          </a:xfrm>
                          <a:prstGeom prst="rect">
                            <a:avLst/>
                          </a:prstGeom>
                          <a:noFill/>
                        </pic:spPr>
                      </pic:pic>
                    </a:graphicData>
                  </a:graphic>
                </wp:inline>
              </w:drawing>
            </w:r>
            <w:r w:rsidR="00501B6F">
              <w:rPr>
                <w:noProof/>
              </w:rPr>
              <w:drawing>
                <wp:inline distT="0" distB="0" distL="0" distR="0" wp14:anchorId="1D18950C" wp14:editId="738228F0">
                  <wp:extent cx="3326765" cy="2510155"/>
                  <wp:effectExtent l="0" t="0" r="6985" b="4445"/>
                  <wp:docPr id="7" name="Chart 7">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757" w:type="dxa"/>
            <w:gridSpan w:val="7"/>
            <w:vMerge w:val="restart"/>
          </w:tcPr>
          <w:tbl>
            <w:tblPr>
              <w:tblpPr w:leftFromText="180" w:rightFromText="180" w:vertAnchor="page" w:horzAnchor="margin" w:tblpXSpec="center" w:tblpY="128"/>
              <w:tblOverlap w:val="never"/>
              <w:tblW w:w="5005"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434"/>
              <w:gridCol w:w="646"/>
              <w:gridCol w:w="1545"/>
              <w:gridCol w:w="1649"/>
              <w:gridCol w:w="731"/>
            </w:tblGrid>
            <w:tr w:rsidR="00A22FD0" w:rsidRPr="00BB4F59" w:rsidTr="00FD219C">
              <w:trPr>
                <w:trHeight w:val="343"/>
              </w:trPr>
              <w:tc>
                <w:tcPr>
                  <w:tcW w:w="434" w:type="dxa"/>
                  <w:shd w:val="clear" w:color="auto" w:fill="auto"/>
                  <w:noWrap/>
                  <w:vAlign w:val="center"/>
                  <w:hideMark/>
                </w:tcPr>
                <w:p w:rsidR="00A22FD0" w:rsidRPr="002F4991" w:rsidRDefault="00A22FD0" w:rsidP="00A22FD0">
                  <w:pPr>
                    <w:spacing w:after="0" w:line="240" w:lineRule="auto"/>
                    <w:jc w:val="center"/>
                    <w:rPr>
                      <w:rFonts w:ascii="Times New Roman" w:eastAsia="Times New Roman" w:hAnsi="Times New Roman" w:cs="Times New Roman"/>
                      <w:b/>
                      <w:bCs/>
                      <w:color w:val="000000"/>
                      <w:sz w:val="14"/>
                      <w:szCs w:val="14"/>
                    </w:rPr>
                  </w:pPr>
                </w:p>
              </w:tc>
              <w:tc>
                <w:tcPr>
                  <w:tcW w:w="646" w:type="dxa"/>
                  <w:shd w:val="clear" w:color="auto" w:fill="auto"/>
                  <w:noWrap/>
                  <w:vAlign w:val="center"/>
                  <w:hideMark/>
                </w:tcPr>
                <w:p w:rsidR="00A22FD0" w:rsidRPr="007F1789" w:rsidRDefault="00A22FD0" w:rsidP="00A22FD0">
                  <w:pPr>
                    <w:spacing w:after="0" w:line="240" w:lineRule="auto"/>
                    <w:ind w:right="-53"/>
                    <w:jc w:val="center"/>
                    <w:rPr>
                      <w:rFonts w:ascii="Times New Roman" w:eastAsia="Times New Roman" w:hAnsi="Times New Roman" w:cs="Times New Roman"/>
                      <w:b/>
                      <w:bCs/>
                      <w:color w:val="000000"/>
                      <w:sz w:val="14"/>
                      <w:szCs w:val="14"/>
                    </w:rPr>
                  </w:pPr>
                  <w:r w:rsidRPr="007F1789">
                    <w:rPr>
                      <w:rFonts w:ascii="Times New Roman" w:eastAsia="Times New Roman" w:hAnsi="Times New Roman" w:cs="Times New Roman"/>
                      <w:b/>
                      <w:bCs/>
                      <w:color w:val="000000"/>
                      <w:sz w:val="14"/>
                      <w:szCs w:val="14"/>
                    </w:rPr>
                    <w:t>Stock</w:t>
                  </w:r>
                </w:p>
              </w:tc>
              <w:tc>
                <w:tcPr>
                  <w:tcW w:w="1545" w:type="dxa"/>
                  <w:shd w:val="clear" w:color="auto" w:fill="auto"/>
                  <w:noWrap/>
                  <w:vAlign w:val="center"/>
                  <w:hideMark/>
                </w:tcPr>
                <w:p w:rsidR="00A22FD0" w:rsidRPr="007F1789" w:rsidRDefault="00A22FD0" w:rsidP="00A22FD0">
                  <w:pPr>
                    <w:spacing w:after="0" w:line="240" w:lineRule="auto"/>
                    <w:jc w:val="center"/>
                    <w:rPr>
                      <w:rFonts w:ascii="Times New Roman" w:eastAsia="Times New Roman" w:hAnsi="Times New Roman" w:cs="Times New Roman"/>
                      <w:b/>
                      <w:bCs/>
                      <w:color w:val="000000"/>
                      <w:sz w:val="14"/>
                      <w:szCs w:val="14"/>
                    </w:rPr>
                  </w:pPr>
                  <w:r w:rsidRPr="007F1789">
                    <w:rPr>
                      <w:rFonts w:ascii="Times New Roman" w:eastAsia="Times New Roman" w:hAnsi="Times New Roman" w:cs="Times New Roman"/>
                      <w:b/>
                      <w:bCs/>
                      <w:color w:val="000000"/>
                      <w:sz w:val="14"/>
                      <w:szCs w:val="14"/>
                    </w:rPr>
                    <w:t>Sector</w:t>
                  </w:r>
                </w:p>
              </w:tc>
              <w:tc>
                <w:tcPr>
                  <w:tcW w:w="1649" w:type="dxa"/>
                  <w:shd w:val="clear" w:color="auto" w:fill="auto"/>
                  <w:noWrap/>
                  <w:vAlign w:val="center"/>
                  <w:hideMark/>
                </w:tcPr>
                <w:p w:rsidR="00A22FD0" w:rsidRPr="007F1789" w:rsidRDefault="007F1789" w:rsidP="00A80F23">
                  <w:pPr>
                    <w:spacing w:after="0" w:line="240" w:lineRule="auto"/>
                    <w:jc w:val="center"/>
                    <w:rPr>
                      <w:rFonts w:ascii="Times New Roman" w:eastAsia="Times New Roman" w:hAnsi="Times New Roman" w:cs="Times New Roman"/>
                      <w:b/>
                      <w:bCs/>
                      <w:color w:val="000000"/>
                      <w:sz w:val="14"/>
                      <w:szCs w:val="14"/>
                    </w:rPr>
                  </w:pPr>
                  <w:r>
                    <w:rPr>
                      <w:rFonts w:ascii="Times New Roman" w:eastAsia="Times New Roman" w:hAnsi="Times New Roman" w:cs="Times New Roman"/>
                      <w:b/>
                      <w:bCs/>
                      <w:color w:val="000000"/>
                      <w:sz w:val="14"/>
                      <w:szCs w:val="14"/>
                    </w:rPr>
                    <w:t>Free-</w:t>
                  </w:r>
                  <w:r w:rsidR="00A22FD0" w:rsidRPr="007F1789">
                    <w:rPr>
                      <w:rFonts w:ascii="Times New Roman" w:eastAsia="Times New Roman" w:hAnsi="Times New Roman" w:cs="Times New Roman"/>
                      <w:b/>
                      <w:bCs/>
                      <w:color w:val="000000"/>
                      <w:sz w:val="14"/>
                      <w:szCs w:val="14"/>
                    </w:rPr>
                    <w:t>float adjusted market-cap (</w:t>
                  </w:r>
                  <w:r w:rsidR="00A80F23">
                    <w:rPr>
                      <w:rFonts w:ascii="Times New Roman" w:eastAsia="Times New Roman" w:hAnsi="Times New Roman" w:cs="Times New Roman"/>
                      <w:b/>
                      <w:bCs/>
                      <w:color w:val="000000"/>
                      <w:sz w:val="14"/>
                      <w:szCs w:val="14"/>
                    </w:rPr>
                    <w:t>Billion VND</w:t>
                  </w:r>
                  <w:r w:rsidR="00A22FD0" w:rsidRPr="007F1789">
                    <w:rPr>
                      <w:rFonts w:ascii="Times New Roman" w:eastAsia="Times New Roman" w:hAnsi="Times New Roman" w:cs="Times New Roman"/>
                      <w:b/>
                      <w:bCs/>
                      <w:color w:val="000000"/>
                      <w:sz w:val="14"/>
                      <w:szCs w:val="14"/>
                    </w:rPr>
                    <w:t>)</w:t>
                  </w:r>
                </w:p>
              </w:tc>
              <w:tc>
                <w:tcPr>
                  <w:tcW w:w="731" w:type="dxa"/>
                  <w:shd w:val="clear" w:color="auto" w:fill="auto"/>
                  <w:noWrap/>
                  <w:vAlign w:val="center"/>
                  <w:hideMark/>
                </w:tcPr>
                <w:p w:rsidR="00A22FD0" w:rsidRPr="007F1789" w:rsidRDefault="00A22FD0" w:rsidP="00A22FD0">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Weight</w:t>
                  </w:r>
                </w:p>
                <w:p w:rsidR="00A22FD0" w:rsidRPr="007F1789" w:rsidRDefault="00A22FD0" w:rsidP="00A22FD0">
                  <w:pPr>
                    <w:spacing w:after="0" w:line="240" w:lineRule="auto"/>
                    <w:jc w:val="center"/>
                    <w:rPr>
                      <w:rFonts w:ascii="Times New Roman" w:eastAsia="Times New Roman" w:hAnsi="Times New Roman" w:cs="Times New Roman"/>
                      <w:b/>
                      <w:bCs/>
                      <w:color w:val="000000"/>
                      <w:sz w:val="14"/>
                      <w:szCs w:val="14"/>
                    </w:rPr>
                  </w:pPr>
                  <w:r w:rsidRPr="007F1789">
                    <w:rPr>
                      <w:rFonts w:ascii="Times New Roman" w:eastAsia="Times New Roman" w:hAnsi="Times New Roman" w:cs="Times New Roman"/>
                      <w:b/>
                      <w:sz w:val="14"/>
                      <w:szCs w:val="14"/>
                    </w:rPr>
                    <w:t>(%)</w:t>
                  </w:r>
                </w:p>
              </w:tc>
            </w:tr>
            <w:tr w:rsidR="001D5280" w:rsidRPr="00BB4F59" w:rsidTr="00B635E1">
              <w:trPr>
                <w:trHeight w:val="343"/>
              </w:trPr>
              <w:tc>
                <w:tcPr>
                  <w:tcW w:w="434" w:type="dxa"/>
                  <w:shd w:val="clear" w:color="auto" w:fill="auto"/>
                  <w:noWrap/>
                  <w:vAlign w:val="center"/>
                  <w:hideMark/>
                </w:tcPr>
                <w:p w:rsidR="001D5280" w:rsidRPr="00C572C8" w:rsidRDefault="001D5280" w:rsidP="001D5280">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1</w:t>
                  </w:r>
                </w:p>
              </w:tc>
              <w:tc>
                <w:tcPr>
                  <w:tcW w:w="646"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VNM</w:t>
                  </w:r>
                </w:p>
              </w:tc>
              <w:tc>
                <w:tcPr>
                  <w:tcW w:w="1545" w:type="dxa"/>
                  <w:shd w:val="clear" w:color="auto" w:fill="auto"/>
                  <w:noWrap/>
                  <w:vAlign w:val="center"/>
                  <w:hideMark/>
                </w:tcPr>
                <w:p w:rsidR="001D5280" w:rsidRPr="001D5280" w:rsidRDefault="001D5280" w:rsidP="001D5280">
                  <w:pPr>
                    <w:jc w:val="center"/>
                    <w:rPr>
                      <w:rFonts w:ascii="Times New Roman" w:hAnsi="Times New Roman" w:cs="Times New Roman"/>
                      <w:color w:val="000000"/>
                      <w:sz w:val="14"/>
                      <w:szCs w:val="14"/>
                    </w:rPr>
                  </w:pPr>
                  <w:r w:rsidRPr="001D5280">
                    <w:rPr>
                      <w:rFonts w:ascii="Times New Roman" w:hAnsi="Times New Roman" w:cs="Times New Roman"/>
                      <w:color w:val="000000"/>
                      <w:sz w:val="14"/>
                      <w:szCs w:val="14"/>
                    </w:rPr>
                    <w:t xml:space="preserve"> Consumer Staples </w:t>
                  </w:r>
                </w:p>
              </w:tc>
              <w:tc>
                <w:tcPr>
                  <w:tcW w:w="1649"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112,756</w:t>
                  </w:r>
                </w:p>
              </w:tc>
              <w:tc>
                <w:tcPr>
                  <w:tcW w:w="731"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11.51%</w:t>
                  </w:r>
                </w:p>
              </w:tc>
            </w:tr>
            <w:tr w:rsidR="001D5280" w:rsidRPr="00BB4F59" w:rsidTr="00B635E1">
              <w:trPr>
                <w:trHeight w:val="343"/>
              </w:trPr>
              <w:tc>
                <w:tcPr>
                  <w:tcW w:w="434" w:type="dxa"/>
                  <w:shd w:val="clear" w:color="auto" w:fill="auto"/>
                  <w:noWrap/>
                  <w:vAlign w:val="center"/>
                  <w:hideMark/>
                </w:tcPr>
                <w:p w:rsidR="001D5280" w:rsidRPr="00C572C8" w:rsidRDefault="001D5280" w:rsidP="001D5280">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2</w:t>
                  </w:r>
                </w:p>
              </w:tc>
              <w:tc>
                <w:tcPr>
                  <w:tcW w:w="646"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VIC</w:t>
                  </w:r>
                </w:p>
              </w:tc>
              <w:tc>
                <w:tcPr>
                  <w:tcW w:w="1545" w:type="dxa"/>
                  <w:shd w:val="clear" w:color="auto" w:fill="auto"/>
                  <w:noWrap/>
                  <w:vAlign w:val="center"/>
                  <w:hideMark/>
                </w:tcPr>
                <w:p w:rsidR="001D5280" w:rsidRPr="001D5280" w:rsidRDefault="001D5280" w:rsidP="001D5280">
                  <w:pPr>
                    <w:jc w:val="center"/>
                    <w:rPr>
                      <w:rFonts w:ascii="Times New Roman" w:hAnsi="Times New Roman" w:cs="Times New Roman"/>
                      <w:color w:val="000000"/>
                      <w:sz w:val="14"/>
                      <w:szCs w:val="14"/>
                    </w:rPr>
                  </w:pPr>
                  <w:r w:rsidRPr="001D5280">
                    <w:rPr>
                      <w:rFonts w:ascii="Times New Roman" w:hAnsi="Times New Roman" w:cs="Times New Roman"/>
                      <w:color w:val="000000"/>
                      <w:sz w:val="14"/>
                      <w:szCs w:val="14"/>
                    </w:rPr>
                    <w:t xml:space="preserve"> Real Estate </w:t>
                  </w:r>
                </w:p>
              </w:tc>
              <w:tc>
                <w:tcPr>
                  <w:tcW w:w="1649"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109,728</w:t>
                  </w:r>
                </w:p>
              </w:tc>
              <w:tc>
                <w:tcPr>
                  <w:tcW w:w="731"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11.20%</w:t>
                  </w:r>
                </w:p>
              </w:tc>
            </w:tr>
            <w:tr w:rsidR="001D5280" w:rsidRPr="00BB4F59" w:rsidTr="00B635E1">
              <w:trPr>
                <w:trHeight w:val="343"/>
              </w:trPr>
              <w:tc>
                <w:tcPr>
                  <w:tcW w:w="434" w:type="dxa"/>
                  <w:shd w:val="clear" w:color="auto" w:fill="auto"/>
                  <w:noWrap/>
                  <w:vAlign w:val="center"/>
                  <w:hideMark/>
                </w:tcPr>
                <w:p w:rsidR="001D5280" w:rsidRPr="00C572C8" w:rsidRDefault="001D5280" w:rsidP="001D5280">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3</w:t>
                  </w:r>
                </w:p>
              </w:tc>
              <w:tc>
                <w:tcPr>
                  <w:tcW w:w="646"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VHM</w:t>
                  </w:r>
                </w:p>
              </w:tc>
              <w:tc>
                <w:tcPr>
                  <w:tcW w:w="1545" w:type="dxa"/>
                  <w:shd w:val="clear" w:color="auto" w:fill="auto"/>
                  <w:noWrap/>
                  <w:vAlign w:val="center"/>
                  <w:hideMark/>
                </w:tcPr>
                <w:p w:rsidR="001D5280" w:rsidRPr="001D5280" w:rsidRDefault="001D5280" w:rsidP="001D5280">
                  <w:pPr>
                    <w:jc w:val="center"/>
                    <w:rPr>
                      <w:rFonts w:ascii="Times New Roman" w:hAnsi="Times New Roman" w:cs="Times New Roman"/>
                      <w:color w:val="000000"/>
                      <w:sz w:val="14"/>
                      <w:szCs w:val="14"/>
                    </w:rPr>
                  </w:pPr>
                  <w:r w:rsidRPr="001D5280">
                    <w:rPr>
                      <w:rFonts w:ascii="Times New Roman" w:hAnsi="Times New Roman" w:cs="Times New Roman"/>
                      <w:color w:val="000000"/>
                      <w:sz w:val="14"/>
                      <w:szCs w:val="14"/>
                    </w:rPr>
                    <w:t xml:space="preserve"> Real Estate </w:t>
                  </w:r>
                </w:p>
              </w:tc>
              <w:tc>
                <w:tcPr>
                  <w:tcW w:w="1649"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68,665</w:t>
                  </w:r>
                </w:p>
              </w:tc>
              <w:tc>
                <w:tcPr>
                  <w:tcW w:w="731"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7.01%</w:t>
                  </w:r>
                </w:p>
              </w:tc>
            </w:tr>
            <w:tr w:rsidR="001D5280" w:rsidRPr="00BB4F59" w:rsidTr="00B635E1">
              <w:trPr>
                <w:trHeight w:val="343"/>
              </w:trPr>
              <w:tc>
                <w:tcPr>
                  <w:tcW w:w="434" w:type="dxa"/>
                  <w:shd w:val="clear" w:color="auto" w:fill="auto"/>
                  <w:noWrap/>
                  <w:vAlign w:val="center"/>
                  <w:hideMark/>
                </w:tcPr>
                <w:p w:rsidR="001D5280" w:rsidRPr="00C572C8" w:rsidRDefault="001D5280" w:rsidP="001D5280">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4</w:t>
                  </w:r>
                </w:p>
              </w:tc>
              <w:tc>
                <w:tcPr>
                  <w:tcW w:w="646"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TCB</w:t>
                  </w:r>
                </w:p>
              </w:tc>
              <w:tc>
                <w:tcPr>
                  <w:tcW w:w="1545" w:type="dxa"/>
                  <w:shd w:val="clear" w:color="auto" w:fill="auto"/>
                  <w:noWrap/>
                  <w:vAlign w:val="center"/>
                  <w:hideMark/>
                </w:tcPr>
                <w:p w:rsidR="001D5280" w:rsidRPr="001D5280" w:rsidRDefault="001D5280" w:rsidP="001D5280">
                  <w:pPr>
                    <w:jc w:val="center"/>
                    <w:rPr>
                      <w:rFonts w:ascii="Times New Roman" w:hAnsi="Times New Roman" w:cs="Times New Roman"/>
                      <w:color w:val="000000"/>
                      <w:sz w:val="14"/>
                      <w:szCs w:val="14"/>
                    </w:rPr>
                  </w:pPr>
                  <w:r w:rsidRPr="001D5280">
                    <w:rPr>
                      <w:rFonts w:ascii="Times New Roman" w:hAnsi="Times New Roman" w:cs="Times New Roman"/>
                      <w:color w:val="000000"/>
                      <w:sz w:val="14"/>
                      <w:szCs w:val="14"/>
                    </w:rPr>
                    <w:t xml:space="preserve"> Financials </w:t>
                  </w:r>
                </w:p>
              </w:tc>
              <w:tc>
                <w:tcPr>
                  <w:tcW w:w="1649"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51,365</w:t>
                  </w:r>
                </w:p>
              </w:tc>
              <w:tc>
                <w:tcPr>
                  <w:tcW w:w="731"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5.24%</w:t>
                  </w:r>
                </w:p>
              </w:tc>
            </w:tr>
            <w:tr w:rsidR="001D5280" w:rsidRPr="00BB4F59" w:rsidTr="00B635E1">
              <w:trPr>
                <w:trHeight w:val="343"/>
              </w:trPr>
              <w:tc>
                <w:tcPr>
                  <w:tcW w:w="434" w:type="dxa"/>
                  <w:shd w:val="clear" w:color="auto" w:fill="auto"/>
                  <w:noWrap/>
                  <w:vAlign w:val="center"/>
                  <w:hideMark/>
                </w:tcPr>
                <w:p w:rsidR="001D5280" w:rsidRPr="00C572C8" w:rsidRDefault="001D5280" w:rsidP="001D5280">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5</w:t>
                  </w:r>
                </w:p>
              </w:tc>
              <w:tc>
                <w:tcPr>
                  <w:tcW w:w="646"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HPG</w:t>
                  </w:r>
                </w:p>
              </w:tc>
              <w:tc>
                <w:tcPr>
                  <w:tcW w:w="1545" w:type="dxa"/>
                  <w:shd w:val="clear" w:color="auto" w:fill="auto"/>
                  <w:noWrap/>
                  <w:vAlign w:val="center"/>
                  <w:hideMark/>
                </w:tcPr>
                <w:p w:rsidR="001D5280" w:rsidRPr="001D5280" w:rsidRDefault="001D5280" w:rsidP="001D5280">
                  <w:pPr>
                    <w:jc w:val="center"/>
                    <w:rPr>
                      <w:rFonts w:ascii="Times New Roman" w:hAnsi="Times New Roman" w:cs="Times New Roman"/>
                      <w:color w:val="000000"/>
                      <w:sz w:val="14"/>
                      <w:szCs w:val="14"/>
                    </w:rPr>
                  </w:pPr>
                  <w:r w:rsidRPr="001D5280">
                    <w:rPr>
                      <w:rFonts w:ascii="Times New Roman" w:hAnsi="Times New Roman" w:cs="Times New Roman"/>
                      <w:color w:val="000000"/>
                      <w:sz w:val="14"/>
                      <w:szCs w:val="14"/>
                    </w:rPr>
                    <w:t xml:space="preserve"> Materials </w:t>
                  </w:r>
                </w:p>
              </w:tc>
              <w:tc>
                <w:tcPr>
                  <w:tcW w:w="1649"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40,906</w:t>
                  </w:r>
                </w:p>
              </w:tc>
              <w:tc>
                <w:tcPr>
                  <w:tcW w:w="731"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4.18%</w:t>
                  </w:r>
                </w:p>
              </w:tc>
            </w:tr>
            <w:tr w:rsidR="001D5280" w:rsidRPr="00BB4F59" w:rsidTr="00B635E1">
              <w:trPr>
                <w:trHeight w:val="343"/>
              </w:trPr>
              <w:tc>
                <w:tcPr>
                  <w:tcW w:w="434" w:type="dxa"/>
                  <w:shd w:val="clear" w:color="auto" w:fill="auto"/>
                  <w:noWrap/>
                  <w:vAlign w:val="center"/>
                  <w:hideMark/>
                </w:tcPr>
                <w:p w:rsidR="001D5280" w:rsidRPr="00C572C8" w:rsidRDefault="001D5280" w:rsidP="001D5280">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6</w:t>
                  </w:r>
                </w:p>
              </w:tc>
              <w:tc>
                <w:tcPr>
                  <w:tcW w:w="646"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MSN</w:t>
                  </w:r>
                </w:p>
              </w:tc>
              <w:tc>
                <w:tcPr>
                  <w:tcW w:w="1545" w:type="dxa"/>
                  <w:shd w:val="clear" w:color="auto" w:fill="auto"/>
                  <w:noWrap/>
                  <w:vAlign w:val="center"/>
                  <w:hideMark/>
                </w:tcPr>
                <w:p w:rsidR="001D5280" w:rsidRPr="001D5280" w:rsidRDefault="001D5280" w:rsidP="001D5280">
                  <w:pPr>
                    <w:jc w:val="center"/>
                    <w:rPr>
                      <w:rFonts w:ascii="Times New Roman" w:hAnsi="Times New Roman" w:cs="Times New Roman"/>
                      <w:color w:val="000000"/>
                      <w:sz w:val="14"/>
                      <w:szCs w:val="14"/>
                    </w:rPr>
                  </w:pPr>
                  <w:r w:rsidRPr="001D5280">
                    <w:rPr>
                      <w:rFonts w:ascii="Times New Roman" w:hAnsi="Times New Roman" w:cs="Times New Roman"/>
                      <w:color w:val="000000"/>
                      <w:sz w:val="14"/>
                      <w:szCs w:val="14"/>
                    </w:rPr>
                    <w:t xml:space="preserve"> Consumer Staples </w:t>
                  </w:r>
                </w:p>
              </w:tc>
              <w:tc>
                <w:tcPr>
                  <w:tcW w:w="1649"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39,919</w:t>
                  </w:r>
                </w:p>
              </w:tc>
              <w:tc>
                <w:tcPr>
                  <w:tcW w:w="731"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4.08%</w:t>
                  </w:r>
                </w:p>
              </w:tc>
            </w:tr>
            <w:tr w:rsidR="001D5280" w:rsidRPr="00BB4F59" w:rsidTr="00B635E1">
              <w:trPr>
                <w:trHeight w:val="343"/>
              </w:trPr>
              <w:tc>
                <w:tcPr>
                  <w:tcW w:w="434" w:type="dxa"/>
                  <w:shd w:val="clear" w:color="auto" w:fill="auto"/>
                  <w:noWrap/>
                  <w:vAlign w:val="center"/>
                  <w:hideMark/>
                </w:tcPr>
                <w:p w:rsidR="001D5280" w:rsidRPr="00C572C8" w:rsidRDefault="001D5280" w:rsidP="001D5280">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7</w:t>
                  </w:r>
                </w:p>
              </w:tc>
              <w:tc>
                <w:tcPr>
                  <w:tcW w:w="646"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VRE</w:t>
                  </w:r>
                </w:p>
              </w:tc>
              <w:tc>
                <w:tcPr>
                  <w:tcW w:w="1545" w:type="dxa"/>
                  <w:shd w:val="clear" w:color="auto" w:fill="auto"/>
                  <w:noWrap/>
                  <w:vAlign w:val="center"/>
                  <w:hideMark/>
                </w:tcPr>
                <w:p w:rsidR="001D5280" w:rsidRPr="001D5280" w:rsidRDefault="001D5280" w:rsidP="001D5280">
                  <w:pPr>
                    <w:jc w:val="center"/>
                    <w:rPr>
                      <w:rFonts w:ascii="Times New Roman" w:hAnsi="Times New Roman" w:cs="Times New Roman"/>
                      <w:color w:val="000000"/>
                      <w:sz w:val="14"/>
                      <w:szCs w:val="14"/>
                    </w:rPr>
                  </w:pPr>
                  <w:r w:rsidRPr="001D5280">
                    <w:rPr>
                      <w:rFonts w:ascii="Times New Roman" w:hAnsi="Times New Roman" w:cs="Times New Roman"/>
                      <w:color w:val="000000"/>
                      <w:sz w:val="14"/>
                      <w:szCs w:val="14"/>
                    </w:rPr>
                    <w:t xml:space="preserve"> Real Estate </w:t>
                  </w:r>
                </w:p>
              </w:tc>
              <w:tc>
                <w:tcPr>
                  <w:tcW w:w="1649"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36,469</w:t>
                  </w:r>
                </w:p>
              </w:tc>
              <w:tc>
                <w:tcPr>
                  <w:tcW w:w="731"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3.72%</w:t>
                  </w:r>
                </w:p>
              </w:tc>
            </w:tr>
            <w:tr w:rsidR="001D5280" w:rsidRPr="00BB4F59" w:rsidTr="00B635E1">
              <w:trPr>
                <w:trHeight w:val="343"/>
              </w:trPr>
              <w:tc>
                <w:tcPr>
                  <w:tcW w:w="434" w:type="dxa"/>
                  <w:shd w:val="clear" w:color="auto" w:fill="auto"/>
                  <w:noWrap/>
                  <w:vAlign w:val="center"/>
                  <w:hideMark/>
                </w:tcPr>
                <w:p w:rsidR="001D5280" w:rsidRPr="00C572C8" w:rsidRDefault="001D5280" w:rsidP="001D5280">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8</w:t>
                  </w:r>
                </w:p>
              </w:tc>
              <w:tc>
                <w:tcPr>
                  <w:tcW w:w="646"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VJC</w:t>
                  </w:r>
                </w:p>
              </w:tc>
              <w:tc>
                <w:tcPr>
                  <w:tcW w:w="1545" w:type="dxa"/>
                  <w:shd w:val="clear" w:color="auto" w:fill="auto"/>
                  <w:noWrap/>
                  <w:vAlign w:val="center"/>
                  <w:hideMark/>
                </w:tcPr>
                <w:p w:rsidR="001D5280" w:rsidRPr="001D5280" w:rsidRDefault="001D5280" w:rsidP="001D5280">
                  <w:pPr>
                    <w:jc w:val="center"/>
                    <w:rPr>
                      <w:rFonts w:ascii="Times New Roman" w:hAnsi="Times New Roman" w:cs="Times New Roman"/>
                      <w:color w:val="000000"/>
                      <w:sz w:val="14"/>
                      <w:szCs w:val="14"/>
                    </w:rPr>
                  </w:pPr>
                  <w:r w:rsidRPr="001D5280">
                    <w:rPr>
                      <w:rFonts w:ascii="Times New Roman" w:hAnsi="Times New Roman" w:cs="Times New Roman"/>
                      <w:color w:val="000000"/>
                      <w:sz w:val="14"/>
                      <w:szCs w:val="14"/>
                    </w:rPr>
                    <w:t xml:space="preserve"> Industrials </w:t>
                  </w:r>
                </w:p>
              </w:tc>
              <w:tc>
                <w:tcPr>
                  <w:tcW w:w="1649"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33,715</w:t>
                  </w:r>
                </w:p>
              </w:tc>
              <w:tc>
                <w:tcPr>
                  <w:tcW w:w="731"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3.44%</w:t>
                  </w:r>
                </w:p>
              </w:tc>
            </w:tr>
            <w:tr w:rsidR="001D5280" w:rsidRPr="00BB4F59" w:rsidTr="00B635E1">
              <w:trPr>
                <w:trHeight w:val="343"/>
              </w:trPr>
              <w:tc>
                <w:tcPr>
                  <w:tcW w:w="434" w:type="dxa"/>
                  <w:shd w:val="clear" w:color="auto" w:fill="auto"/>
                  <w:noWrap/>
                  <w:vAlign w:val="center"/>
                  <w:hideMark/>
                </w:tcPr>
                <w:p w:rsidR="001D5280" w:rsidRPr="00C572C8" w:rsidRDefault="001D5280" w:rsidP="001D5280">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9</w:t>
                  </w:r>
                </w:p>
              </w:tc>
              <w:tc>
                <w:tcPr>
                  <w:tcW w:w="646"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VPB</w:t>
                  </w:r>
                </w:p>
              </w:tc>
              <w:tc>
                <w:tcPr>
                  <w:tcW w:w="1545" w:type="dxa"/>
                  <w:shd w:val="clear" w:color="auto" w:fill="auto"/>
                  <w:noWrap/>
                  <w:vAlign w:val="center"/>
                  <w:hideMark/>
                </w:tcPr>
                <w:p w:rsidR="001D5280" w:rsidRPr="001D5280" w:rsidRDefault="001D5280" w:rsidP="001D5280">
                  <w:pPr>
                    <w:jc w:val="center"/>
                    <w:rPr>
                      <w:rFonts w:ascii="Times New Roman" w:hAnsi="Times New Roman" w:cs="Times New Roman"/>
                      <w:color w:val="000000"/>
                      <w:sz w:val="14"/>
                      <w:szCs w:val="14"/>
                    </w:rPr>
                  </w:pPr>
                  <w:r w:rsidRPr="001D5280">
                    <w:rPr>
                      <w:rFonts w:ascii="Times New Roman" w:hAnsi="Times New Roman" w:cs="Times New Roman"/>
                      <w:color w:val="000000"/>
                      <w:sz w:val="14"/>
                      <w:szCs w:val="14"/>
                    </w:rPr>
                    <w:t xml:space="preserve"> Financials </w:t>
                  </w:r>
                </w:p>
              </w:tc>
              <w:tc>
                <w:tcPr>
                  <w:tcW w:w="1649"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31,299</w:t>
                  </w:r>
                </w:p>
              </w:tc>
              <w:tc>
                <w:tcPr>
                  <w:tcW w:w="731"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3.20%</w:t>
                  </w:r>
                </w:p>
              </w:tc>
            </w:tr>
            <w:tr w:rsidR="001D5280" w:rsidRPr="00BB4F59" w:rsidTr="00B635E1">
              <w:trPr>
                <w:trHeight w:val="343"/>
              </w:trPr>
              <w:tc>
                <w:tcPr>
                  <w:tcW w:w="434" w:type="dxa"/>
                  <w:shd w:val="clear" w:color="auto" w:fill="auto"/>
                  <w:noWrap/>
                  <w:vAlign w:val="center"/>
                  <w:hideMark/>
                </w:tcPr>
                <w:p w:rsidR="001D5280" w:rsidRPr="00C572C8" w:rsidRDefault="001D5280" w:rsidP="001D5280">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10</w:t>
                  </w:r>
                </w:p>
              </w:tc>
              <w:tc>
                <w:tcPr>
                  <w:tcW w:w="646"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MBB</w:t>
                  </w:r>
                </w:p>
              </w:tc>
              <w:tc>
                <w:tcPr>
                  <w:tcW w:w="1545" w:type="dxa"/>
                  <w:shd w:val="clear" w:color="auto" w:fill="auto"/>
                  <w:noWrap/>
                  <w:vAlign w:val="center"/>
                  <w:hideMark/>
                </w:tcPr>
                <w:p w:rsidR="001D5280" w:rsidRPr="001D5280" w:rsidRDefault="001D5280" w:rsidP="001D5280">
                  <w:pPr>
                    <w:jc w:val="center"/>
                    <w:rPr>
                      <w:rFonts w:ascii="Times New Roman" w:hAnsi="Times New Roman" w:cs="Times New Roman"/>
                      <w:color w:val="000000"/>
                      <w:sz w:val="14"/>
                      <w:szCs w:val="14"/>
                    </w:rPr>
                  </w:pPr>
                  <w:r w:rsidRPr="001D5280">
                    <w:rPr>
                      <w:rFonts w:ascii="Times New Roman" w:hAnsi="Times New Roman" w:cs="Times New Roman"/>
                      <w:color w:val="000000"/>
                      <w:sz w:val="14"/>
                      <w:szCs w:val="14"/>
                    </w:rPr>
                    <w:t xml:space="preserve"> Financials </w:t>
                  </w:r>
                </w:p>
              </w:tc>
              <w:tc>
                <w:tcPr>
                  <w:tcW w:w="1649"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26,439</w:t>
                  </w:r>
                </w:p>
              </w:tc>
              <w:tc>
                <w:tcPr>
                  <w:tcW w:w="731" w:type="dxa"/>
                  <w:shd w:val="clear" w:color="auto" w:fill="auto"/>
                  <w:noWrap/>
                  <w:vAlign w:val="center"/>
                  <w:hideMark/>
                </w:tcPr>
                <w:p w:rsidR="001D5280" w:rsidRPr="00C65498"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2.70%</w:t>
                  </w:r>
                </w:p>
              </w:tc>
            </w:tr>
            <w:tr w:rsidR="001D5280" w:rsidRPr="00BB4F59" w:rsidTr="00615ADB">
              <w:trPr>
                <w:trHeight w:val="343"/>
              </w:trPr>
              <w:tc>
                <w:tcPr>
                  <w:tcW w:w="434" w:type="dxa"/>
                  <w:shd w:val="clear" w:color="auto" w:fill="auto"/>
                  <w:noWrap/>
                  <w:vAlign w:val="center"/>
                  <w:hideMark/>
                </w:tcPr>
                <w:p w:rsidR="001D5280" w:rsidRPr="00C572C8" w:rsidRDefault="001D5280" w:rsidP="001D5280">
                  <w:pPr>
                    <w:spacing w:after="0" w:line="240" w:lineRule="auto"/>
                    <w:jc w:val="center"/>
                    <w:rPr>
                      <w:rFonts w:ascii="Times New Roman" w:eastAsia="Times New Roman" w:hAnsi="Times New Roman" w:cs="Times New Roman"/>
                      <w:color w:val="000000"/>
                      <w:sz w:val="14"/>
                      <w:szCs w:val="14"/>
                    </w:rPr>
                  </w:pPr>
                </w:p>
              </w:tc>
              <w:tc>
                <w:tcPr>
                  <w:tcW w:w="646" w:type="dxa"/>
                  <w:shd w:val="clear" w:color="auto" w:fill="auto"/>
                  <w:noWrap/>
                  <w:vAlign w:val="center"/>
                  <w:hideMark/>
                </w:tcPr>
                <w:p w:rsidR="001D5280" w:rsidRDefault="001D5280" w:rsidP="001D5280">
                  <w:pPr>
                    <w:autoSpaceDE w:val="0"/>
                    <w:autoSpaceDN w:val="0"/>
                    <w:adjustRightInd w:val="0"/>
                    <w:spacing w:after="0" w:line="240" w:lineRule="auto"/>
                    <w:jc w:val="center"/>
                    <w:rPr>
                      <w:rFonts w:ascii="Times New Roman" w:hAnsi="Times New Roman" w:cs="Times New Roman"/>
                      <w:color w:val="000000"/>
                      <w:sz w:val="14"/>
                      <w:szCs w:val="14"/>
                    </w:rPr>
                  </w:pPr>
                </w:p>
              </w:tc>
              <w:tc>
                <w:tcPr>
                  <w:tcW w:w="1545" w:type="dxa"/>
                  <w:shd w:val="clear" w:color="auto" w:fill="auto"/>
                  <w:noWrap/>
                  <w:vAlign w:val="center"/>
                  <w:hideMark/>
                </w:tcPr>
                <w:p w:rsidR="001D5280"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Total</w:t>
                  </w:r>
                </w:p>
              </w:tc>
              <w:tc>
                <w:tcPr>
                  <w:tcW w:w="1649" w:type="dxa"/>
                  <w:shd w:val="clear" w:color="auto" w:fill="auto"/>
                  <w:noWrap/>
                  <w:vAlign w:val="center"/>
                  <w:hideMark/>
                </w:tcPr>
                <w:p w:rsidR="001D5280"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551,262</w:t>
                  </w:r>
                </w:p>
              </w:tc>
              <w:tc>
                <w:tcPr>
                  <w:tcW w:w="731" w:type="dxa"/>
                  <w:shd w:val="clear" w:color="auto" w:fill="auto"/>
                  <w:noWrap/>
                  <w:vAlign w:val="center"/>
                  <w:hideMark/>
                </w:tcPr>
                <w:p w:rsidR="001D5280" w:rsidRDefault="001D5280" w:rsidP="001D5280">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56.28%</w:t>
                  </w:r>
                </w:p>
              </w:tc>
            </w:tr>
          </w:tbl>
          <w:p w:rsidR="00D20BEE" w:rsidRDefault="00D20BEE" w:rsidP="00D20BEE">
            <w:pPr>
              <w:rPr>
                <w:rFonts w:ascii="Arial" w:eastAsia="Times New Roman" w:hAnsi="Arial" w:cs="Arial"/>
              </w:rPr>
            </w:pPr>
          </w:p>
          <w:tbl>
            <w:tblPr>
              <w:tblStyle w:val="TableGrid"/>
              <w:tblW w:w="0" w:type="auto"/>
              <w:tblLayout w:type="fixed"/>
              <w:tblLook w:val="04A0" w:firstRow="1" w:lastRow="0" w:firstColumn="1" w:lastColumn="0" w:noHBand="0" w:noVBand="1"/>
            </w:tblPr>
            <w:tblGrid>
              <w:gridCol w:w="4985"/>
            </w:tblGrid>
            <w:tr w:rsidR="00D20BEE" w:rsidRPr="009C571F" w:rsidTr="001821B4">
              <w:trPr>
                <w:trHeight w:val="1884"/>
              </w:trPr>
              <w:tc>
                <w:tcPr>
                  <w:tcW w:w="4985" w:type="dxa"/>
                </w:tcPr>
                <w:p w:rsidR="004C5B5D" w:rsidRPr="00022FED" w:rsidRDefault="004C5B5D" w:rsidP="004C5B5D">
                  <w:pPr>
                    <w:jc w:val="both"/>
                    <w:rPr>
                      <w:rFonts w:ascii="Times New Roman" w:hAnsi="Times New Roman" w:cs="Times New Roman"/>
                      <w:sz w:val="14"/>
                      <w:szCs w:val="16"/>
                    </w:rPr>
                  </w:pPr>
                  <w:r w:rsidRPr="00022FED">
                    <w:rPr>
                      <w:rFonts w:ascii="Times New Roman" w:hAnsi="Times New Roman" w:cs="Times New Roman"/>
                      <w:b/>
                      <w:sz w:val="14"/>
                      <w:szCs w:val="16"/>
                    </w:rPr>
                    <w:t xml:space="preserve">Disclaimer: </w:t>
                  </w:r>
                  <w:r w:rsidRPr="00022FED">
                    <w:rPr>
                      <w:rFonts w:ascii="Times New Roman" w:hAnsi="Times New Roman" w:cs="Times New Roman"/>
                      <w:sz w:val="14"/>
                      <w:szCs w:val="16"/>
                    </w:rPr>
                    <w:t>"</w:t>
                  </w:r>
                  <w:r w:rsidRPr="00022FED">
                    <w:rPr>
                      <w:rFonts w:ascii="Times New Roman" w:hAnsi="Times New Roman" w:cs="Times New Roman"/>
                      <w:b/>
                      <w:sz w:val="14"/>
                      <w:szCs w:val="16"/>
                    </w:rPr>
                    <w:t>VN30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VNMidcap</w:t>
                  </w:r>
                  <w:proofErr w:type="spellEnd"/>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VNSmallCap</w:t>
                  </w:r>
                  <w:proofErr w:type="spellEnd"/>
                  <w:r w:rsidRPr="00022FED">
                    <w:rPr>
                      <w:rFonts w:ascii="Times New Roman" w:hAnsi="Times New Roman" w:cs="Times New Roman"/>
                      <w:sz w:val="14"/>
                      <w:szCs w:val="16"/>
                    </w:rPr>
                    <w:t>", “</w:t>
                  </w:r>
                  <w:r w:rsidRPr="00022FED">
                    <w:rPr>
                      <w:rFonts w:ascii="Times New Roman" w:hAnsi="Times New Roman" w:cs="Times New Roman"/>
                      <w:b/>
                      <w:sz w:val="14"/>
                      <w:szCs w:val="16"/>
                    </w:rPr>
                    <w:t>VN100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sz w:val="14"/>
                      <w:szCs w:val="16"/>
                    </w:rPr>
                    <w:t>” and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b/>
                      <w:sz w:val="14"/>
                      <w:szCs w:val="16"/>
                    </w:rPr>
                    <w:t xml:space="preserve"> Sector</w:t>
                  </w:r>
                  <w:r w:rsidRPr="00022FED">
                    <w:rPr>
                      <w:rFonts w:ascii="Times New Roman" w:hAnsi="Times New Roman" w:cs="Times New Roman"/>
                      <w:sz w:val="14"/>
                      <w:szCs w:val="16"/>
                    </w:rPr>
                    <w:t>" (collectively called "</w:t>
                  </w:r>
                  <w:r w:rsidRPr="00022FED">
                    <w:rPr>
                      <w:rFonts w:ascii="Times New Roman" w:hAnsi="Times New Roman" w:cs="Times New Roman"/>
                      <w:b/>
                      <w:sz w:val="14"/>
                      <w:szCs w:val="16"/>
                    </w:rPr>
                    <w:t>HOSE-Index</w:t>
                  </w:r>
                  <w:r w:rsidRPr="00022FED">
                    <w:rPr>
                      <w:rFonts w:ascii="Times New Roman" w:hAnsi="Times New Roman" w:cs="Times New Roman"/>
                      <w:sz w:val="14"/>
                      <w:szCs w:val="16"/>
                    </w:rPr>
                    <w:t xml:space="preserve">") are the registered trademarks and/or service mark solely owned by, and proprietary to the </w:t>
                  </w:r>
                  <w:proofErr w:type="spellStart"/>
                  <w:r w:rsidRPr="00022FED">
                    <w:rPr>
                      <w:rFonts w:ascii="Times New Roman" w:hAnsi="Times New Roman" w:cs="Times New Roman"/>
                      <w:sz w:val="14"/>
                      <w:szCs w:val="16"/>
                    </w:rPr>
                    <w:t>Hochiminh</w:t>
                  </w:r>
                  <w:proofErr w:type="spellEnd"/>
                  <w:r w:rsidRPr="00022FED">
                    <w:rPr>
                      <w:rFonts w:ascii="Times New Roman" w:hAnsi="Times New Roman" w:cs="Times New Roman"/>
                      <w:sz w:val="14"/>
                      <w:szCs w:val="16"/>
                    </w:rPr>
                    <w:t xml:space="preserve"> Stock Exchange</w:t>
                  </w:r>
                  <w:r w:rsidR="007A5E34">
                    <w:rPr>
                      <w:rFonts w:ascii="Times New Roman" w:hAnsi="Times New Roman" w:cs="Times New Roman"/>
                      <w:sz w:val="14"/>
                      <w:szCs w:val="16"/>
                    </w:rPr>
                    <w:t xml:space="preserve"> (HOSE)</w:t>
                  </w:r>
                  <w:r w:rsidRPr="00022FED">
                    <w:rPr>
                      <w:rFonts w:ascii="Times New Roman" w:hAnsi="Times New Roman" w:cs="Times New Roman"/>
                      <w:sz w:val="14"/>
                      <w:szCs w:val="16"/>
                    </w:rPr>
                    <w:t xml:space="preserve">. HOSE-Index can be used to create a range of index-linked products including but not limited to tracker funds, derivatives, etc. Such product creation is subject to approval by HOSE. For more information, please contact via e-mail: </w:t>
                  </w:r>
                  <w:r w:rsidRPr="00022FED">
                    <w:rPr>
                      <w:rFonts w:ascii="Times New Roman" w:hAnsi="Times New Roman" w:cs="Times New Roman"/>
                      <w:i/>
                      <w:sz w:val="14"/>
                      <w:szCs w:val="16"/>
                    </w:rPr>
                    <w:t>index@hsx.vn</w:t>
                  </w:r>
                </w:p>
                <w:p w:rsidR="00D20BEE" w:rsidRPr="009C571F" w:rsidRDefault="004C5B5D" w:rsidP="004C5B5D">
                  <w:pPr>
                    <w:jc w:val="both"/>
                    <w:rPr>
                      <w:rFonts w:ascii="Times New Roman" w:hAnsi="Times New Roman" w:cs="Times New Roman"/>
                      <w:sz w:val="14"/>
                      <w:szCs w:val="16"/>
                    </w:rPr>
                  </w:pPr>
                  <w:r w:rsidRPr="00022FED">
                    <w:rPr>
                      <w:rFonts w:ascii="Times New Roman" w:hAnsi="Times New Roman" w:cs="Times New Roman"/>
                      <w:sz w:val="14"/>
                      <w:szCs w:val="16"/>
                    </w:rPr>
                    <w:t>All information is provided for information purposes only. Every effort is made to ensure that all information given in this publication is accurate, but no responsibility or liability can be accepted by HOSE nor its</w:t>
                  </w:r>
                  <w:r w:rsidRPr="00022FED">
                    <w:rPr>
                      <w:rFonts w:ascii="Times New Roman" w:hAnsi="Times New Roman" w:cs="Times New Roman"/>
                    </w:rPr>
                    <w:t xml:space="preserve"> </w:t>
                  </w:r>
                  <w:r w:rsidRPr="00022FED">
                    <w:rPr>
                      <w:rFonts w:ascii="Times New Roman" w:hAnsi="Times New Roman" w:cs="Times New Roman"/>
                      <w:sz w:val="14"/>
                      <w:szCs w:val="16"/>
                    </w:rPr>
                    <w:t>directors, officers, employees, partners or licensors for any errors or for any loss from use of this publication or any of the information or data contained herein.</w:t>
                  </w:r>
                </w:p>
              </w:tc>
            </w:tr>
          </w:tbl>
          <w:p w:rsidR="00D20BEE" w:rsidRDefault="00D20BEE" w:rsidP="00252690">
            <w:pPr>
              <w:jc w:val="center"/>
              <w:rPr>
                <w:rFonts w:ascii="Arial" w:eastAsia="Times New Roman" w:hAnsi="Arial" w:cs="Arial"/>
              </w:rPr>
            </w:pPr>
          </w:p>
          <w:p w:rsidR="00335754" w:rsidRDefault="00335754" w:rsidP="00252690">
            <w:pPr>
              <w:jc w:val="center"/>
              <w:rPr>
                <w:rFonts w:ascii="Arial" w:eastAsia="Times New Roman" w:hAnsi="Arial" w:cs="Arial"/>
              </w:rPr>
            </w:pPr>
          </w:p>
          <w:p w:rsidR="00335754" w:rsidRPr="006D2F55" w:rsidRDefault="00335754" w:rsidP="00252690">
            <w:pPr>
              <w:jc w:val="center"/>
              <w:rPr>
                <w:rFonts w:ascii="Arial" w:eastAsia="Times New Roman" w:hAnsi="Arial" w:cs="Arial"/>
              </w:rPr>
            </w:pPr>
          </w:p>
        </w:tc>
      </w:tr>
      <w:tr w:rsidR="00682A04" w:rsidRPr="006D2F55" w:rsidTr="00474BB6">
        <w:tblPrEx>
          <w:tblCellMar>
            <w:left w:w="108" w:type="dxa"/>
            <w:right w:w="108" w:type="dxa"/>
          </w:tblCellMar>
        </w:tblPrEx>
        <w:trPr>
          <w:gridAfter w:val="1"/>
          <w:wAfter w:w="49" w:type="dxa"/>
          <w:trHeight w:val="302"/>
          <w:jc w:val="center"/>
        </w:trPr>
        <w:tc>
          <w:tcPr>
            <w:tcW w:w="5455" w:type="dxa"/>
            <w:shd w:val="clear" w:color="auto" w:fill="0070C0"/>
            <w:vAlign w:val="center"/>
          </w:tcPr>
          <w:p w:rsidR="00682A04" w:rsidRPr="00252690" w:rsidRDefault="007F1789" w:rsidP="00682A04">
            <w:pPr>
              <w:rPr>
                <w:rFonts w:ascii="Arial" w:eastAsia="Times New Roman" w:hAnsi="Arial" w:cs="Arial"/>
              </w:rPr>
            </w:pPr>
            <w:r w:rsidRPr="0006583E">
              <w:rPr>
                <w:rFonts w:ascii="Times New Roman" w:eastAsia="Times New Roman" w:hAnsi="Times New Roman" w:cs="Times New Roman"/>
                <w:b/>
                <w:color w:val="FFFFFF" w:themeColor="background1"/>
                <w:szCs w:val="12"/>
              </w:rPr>
              <w:t>Top-5 Sectors of Market Capitalization</w:t>
            </w:r>
          </w:p>
        </w:tc>
        <w:tc>
          <w:tcPr>
            <w:tcW w:w="5757" w:type="dxa"/>
            <w:gridSpan w:val="7"/>
            <w:vMerge/>
          </w:tcPr>
          <w:p w:rsidR="00682A04" w:rsidRPr="006D2F55" w:rsidRDefault="00682A04" w:rsidP="00252690">
            <w:pPr>
              <w:jc w:val="center"/>
              <w:rPr>
                <w:rFonts w:ascii="Arial" w:eastAsia="Times New Roman" w:hAnsi="Arial" w:cs="Arial"/>
              </w:rPr>
            </w:pPr>
          </w:p>
        </w:tc>
      </w:tr>
      <w:tr w:rsidR="00682A04" w:rsidRPr="006D2F55" w:rsidTr="00474BB6">
        <w:tblPrEx>
          <w:tblCellMar>
            <w:left w:w="108" w:type="dxa"/>
            <w:right w:w="108" w:type="dxa"/>
          </w:tblCellMar>
        </w:tblPrEx>
        <w:trPr>
          <w:gridAfter w:val="1"/>
          <w:wAfter w:w="49" w:type="dxa"/>
          <w:trHeight w:hRule="exact" w:val="2566"/>
          <w:jc w:val="center"/>
        </w:trPr>
        <w:tc>
          <w:tcPr>
            <w:tcW w:w="5455" w:type="dxa"/>
          </w:tcPr>
          <w:tbl>
            <w:tblPr>
              <w:tblpPr w:leftFromText="180" w:rightFromText="180" w:vertAnchor="page" w:horzAnchor="margin" w:tblpY="1"/>
              <w:tblOverlap w:val="never"/>
              <w:tblW w:w="5776"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1485"/>
              <w:gridCol w:w="1228"/>
              <w:gridCol w:w="1787"/>
              <w:gridCol w:w="1276"/>
            </w:tblGrid>
            <w:tr w:rsidR="007F1789" w:rsidRPr="000C45C8" w:rsidTr="00FA53D4">
              <w:trPr>
                <w:trHeight w:val="328"/>
              </w:trPr>
              <w:tc>
                <w:tcPr>
                  <w:tcW w:w="1485" w:type="dxa"/>
                  <w:shd w:val="clear" w:color="auto" w:fill="auto"/>
                  <w:noWrap/>
                  <w:vAlign w:val="center"/>
                  <w:hideMark/>
                </w:tcPr>
                <w:p w:rsidR="007F1789" w:rsidRPr="007F1789" w:rsidRDefault="007F1789" w:rsidP="007F1789">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Sector</w:t>
                  </w:r>
                </w:p>
              </w:tc>
              <w:tc>
                <w:tcPr>
                  <w:tcW w:w="1228" w:type="dxa"/>
                  <w:shd w:val="clear" w:color="auto" w:fill="auto"/>
                  <w:noWrap/>
                  <w:vAlign w:val="center"/>
                  <w:hideMark/>
                </w:tcPr>
                <w:p w:rsidR="007F1789" w:rsidRPr="007F1789" w:rsidRDefault="007F1789" w:rsidP="007F1789">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Number of Companies</w:t>
                  </w:r>
                </w:p>
              </w:tc>
              <w:tc>
                <w:tcPr>
                  <w:tcW w:w="1787" w:type="dxa"/>
                  <w:vAlign w:val="center"/>
                </w:tcPr>
                <w:p w:rsidR="007F1789" w:rsidRPr="007F1789" w:rsidRDefault="007F1789" w:rsidP="007F1789">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Free-</w:t>
                  </w:r>
                  <w:r w:rsidRPr="007F1789">
                    <w:rPr>
                      <w:rFonts w:ascii="Times New Roman" w:eastAsia="Times New Roman" w:hAnsi="Times New Roman" w:cs="Times New Roman"/>
                      <w:b/>
                      <w:sz w:val="14"/>
                      <w:szCs w:val="14"/>
                    </w:rPr>
                    <w:t>float adjusted</w:t>
                  </w:r>
                </w:p>
                <w:p w:rsidR="007F1789" w:rsidRPr="007F1789" w:rsidRDefault="001739ED" w:rsidP="007F1789">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market-cap</w:t>
                  </w:r>
                  <w:r w:rsidR="007F1789" w:rsidRPr="007F1789">
                    <w:rPr>
                      <w:rFonts w:ascii="Times New Roman" w:eastAsia="Times New Roman" w:hAnsi="Times New Roman" w:cs="Times New Roman"/>
                      <w:b/>
                      <w:sz w:val="14"/>
                      <w:szCs w:val="14"/>
                    </w:rPr>
                    <w:t xml:space="preserve"> </w:t>
                  </w:r>
                  <w:r w:rsidR="00A80F23" w:rsidRPr="007F1789">
                    <w:rPr>
                      <w:rFonts w:ascii="Times New Roman" w:eastAsia="Times New Roman" w:hAnsi="Times New Roman" w:cs="Times New Roman"/>
                      <w:b/>
                      <w:bCs/>
                      <w:color w:val="000000"/>
                      <w:sz w:val="14"/>
                      <w:szCs w:val="14"/>
                    </w:rPr>
                    <w:t>(</w:t>
                  </w:r>
                  <w:r w:rsidR="00A80F23">
                    <w:rPr>
                      <w:rFonts w:ascii="Times New Roman" w:eastAsia="Times New Roman" w:hAnsi="Times New Roman" w:cs="Times New Roman"/>
                      <w:b/>
                      <w:bCs/>
                      <w:color w:val="000000"/>
                      <w:sz w:val="14"/>
                      <w:szCs w:val="14"/>
                    </w:rPr>
                    <w:t>Billion VND</w:t>
                  </w:r>
                  <w:r w:rsidR="00A80F23" w:rsidRPr="007F1789">
                    <w:rPr>
                      <w:rFonts w:ascii="Times New Roman" w:eastAsia="Times New Roman" w:hAnsi="Times New Roman" w:cs="Times New Roman"/>
                      <w:b/>
                      <w:bCs/>
                      <w:color w:val="000000"/>
                      <w:sz w:val="14"/>
                      <w:szCs w:val="14"/>
                    </w:rPr>
                    <w:t>)</w:t>
                  </w:r>
                </w:p>
              </w:tc>
              <w:tc>
                <w:tcPr>
                  <w:tcW w:w="1276" w:type="dxa"/>
                  <w:vAlign w:val="center"/>
                </w:tcPr>
                <w:p w:rsidR="007F1789" w:rsidRPr="007F1789" w:rsidRDefault="007F1789" w:rsidP="007F1789">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Weight</w:t>
                  </w:r>
                </w:p>
                <w:p w:rsidR="007F1789" w:rsidRPr="007F1789" w:rsidRDefault="007F1789" w:rsidP="007F1789">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w:t>
                  </w:r>
                </w:p>
              </w:tc>
            </w:tr>
            <w:tr w:rsidR="00093CB9" w:rsidRPr="000C45C8" w:rsidTr="0032364C">
              <w:trPr>
                <w:trHeight w:val="312"/>
              </w:trPr>
              <w:tc>
                <w:tcPr>
                  <w:tcW w:w="1485" w:type="dxa"/>
                  <w:shd w:val="clear" w:color="auto" w:fill="auto"/>
                  <w:noWrap/>
                  <w:vAlign w:val="bottom"/>
                  <w:hideMark/>
                </w:tcPr>
                <w:p w:rsidR="00093CB9" w:rsidRPr="00093CB9" w:rsidRDefault="00093CB9" w:rsidP="00093CB9">
                  <w:pPr>
                    <w:jc w:val="center"/>
                    <w:rPr>
                      <w:rFonts w:ascii="Times New Roman" w:hAnsi="Times New Roman" w:cs="Times New Roman"/>
                      <w:b/>
                      <w:bCs/>
                      <w:color w:val="000000"/>
                      <w:sz w:val="14"/>
                      <w:szCs w:val="14"/>
                    </w:rPr>
                  </w:pPr>
                  <w:bookmarkStart w:id="1" w:name="_GoBack" w:colFirst="0" w:colLast="3"/>
                  <w:r w:rsidRPr="00093CB9">
                    <w:rPr>
                      <w:rFonts w:ascii="Times New Roman" w:hAnsi="Times New Roman" w:cs="Times New Roman"/>
                      <w:b/>
                      <w:bCs/>
                      <w:color w:val="000000"/>
                      <w:sz w:val="14"/>
                      <w:szCs w:val="14"/>
                    </w:rPr>
                    <w:t>Real Estate</w:t>
                  </w:r>
                </w:p>
              </w:tc>
              <w:tc>
                <w:tcPr>
                  <w:tcW w:w="1228" w:type="dxa"/>
                  <w:shd w:val="clear" w:color="auto" w:fill="auto"/>
                  <w:noWrap/>
                  <w:vAlign w:val="bottom"/>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35</w:t>
                  </w:r>
                </w:p>
              </w:tc>
              <w:tc>
                <w:tcPr>
                  <w:tcW w:w="1787" w:type="dxa"/>
                  <w:vAlign w:val="bottom"/>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276,716</w:t>
                  </w:r>
                </w:p>
              </w:tc>
              <w:tc>
                <w:tcPr>
                  <w:tcW w:w="1276" w:type="dxa"/>
                  <w:vAlign w:val="bottom"/>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28.25%</w:t>
                  </w:r>
                </w:p>
              </w:tc>
            </w:tr>
            <w:tr w:rsidR="00093CB9" w:rsidRPr="000C45C8" w:rsidTr="0032364C">
              <w:trPr>
                <w:trHeight w:val="312"/>
              </w:trPr>
              <w:tc>
                <w:tcPr>
                  <w:tcW w:w="1485" w:type="dxa"/>
                  <w:shd w:val="clear" w:color="auto" w:fill="auto"/>
                  <w:noWrap/>
                  <w:vAlign w:val="bottom"/>
                  <w:hideMark/>
                </w:tcPr>
                <w:p w:rsidR="00093CB9" w:rsidRPr="00093CB9" w:rsidRDefault="00093CB9" w:rsidP="00093CB9">
                  <w:pPr>
                    <w:jc w:val="center"/>
                    <w:rPr>
                      <w:rFonts w:ascii="Times New Roman" w:hAnsi="Times New Roman" w:cs="Times New Roman"/>
                      <w:b/>
                      <w:bCs/>
                      <w:color w:val="000000"/>
                      <w:sz w:val="14"/>
                      <w:szCs w:val="14"/>
                    </w:rPr>
                  </w:pPr>
                  <w:r w:rsidRPr="00093CB9">
                    <w:rPr>
                      <w:rFonts w:ascii="Times New Roman" w:hAnsi="Times New Roman" w:cs="Times New Roman"/>
                      <w:b/>
                      <w:bCs/>
                      <w:color w:val="000000"/>
                      <w:sz w:val="14"/>
                      <w:szCs w:val="14"/>
                    </w:rPr>
                    <w:t>Financials</w:t>
                  </w:r>
                </w:p>
              </w:tc>
              <w:tc>
                <w:tcPr>
                  <w:tcW w:w="1228" w:type="dxa"/>
                  <w:shd w:val="clear" w:color="auto" w:fill="auto"/>
                  <w:noWrap/>
                  <w:vAlign w:val="bottom"/>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24</w:t>
                  </w:r>
                </w:p>
              </w:tc>
              <w:tc>
                <w:tcPr>
                  <w:tcW w:w="1787" w:type="dxa"/>
                  <w:vAlign w:val="bottom"/>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223,996</w:t>
                  </w:r>
                </w:p>
              </w:tc>
              <w:tc>
                <w:tcPr>
                  <w:tcW w:w="1276" w:type="dxa"/>
                  <w:vAlign w:val="bottom"/>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22.87%</w:t>
                  </w:r>
                </w:p>
              </w:tc>
            </w:tr>
            <w:tr w:rsidR="00093CB9" w:rsidRPr="000C45C8" w:rsidTr="0032364C">
              <w:trPr>
                <w:trHeight w:val="312"/>
              </w:trPr>
              <w:tc>
                <w:tcPr>
                  <w:tcW w:w="1485" w:type="dxa"/>
                  <w:shd w:val="clear" w:color="auto" w:fill="auto"/>
                  <w:noWrap/>
                  <w:vAlign w:val="bottom"/>
                  <w:hideMark/>
                </w:tcPr>
                <w:p w:rsidR="00093CB9" w:rsidRPr="00093CB9" w:rsidRDefault="00093CB9" w:rsidP="00093CB9">
                  <w:pPr>
                    <w:jc w:val="center"/>
                    <w:rPr>
                      <w:rFonts w:ascii="Times New Roman" w:hAnsi="Times New Roman" w:cs="Times New Roman"/>
                      <w:b/>
                      <w:bCs/>
                      <w:color w:val="000000"/>
                      <w:sz w:val="14"/>
                      <w:szCs w:val="14"/>
                    </w:rPr>
                  </w:pPr>
                  <w:r w:rsidRPr="00093CB9">
                    <w:rPr>
                      <w:rFonts w:ascii="Times New Roman" w:hAnsi="Times New Roman" w:cs="Times New Roman"/>
                      <w:b/>
                      <w:bCs/>
                      <w:color w:val="000000"/>
                      <w:sz w:val="14"/>
                      <w:szCs w:val="14"/>
                    </w:rPr>
                    <w:t>Consumer Staples</w:t>
                  </w:r>
                </w:p>
              </w:tc>
              <w:tc>
                <w:tcPr>
                  <w:tcW w:w="1228" w:type="dxa"/>
                  <w:shd w:val="clear" w:color="auto" w:fill="auto"/>
                  <w:noWrap/>
                  <w:vAlign w:val="bottom"/>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24</w:t>
                  </w:r>
                </w:p>
              </w:tc>
              <w:tc>
                <w:tcPr>
                  <w:tcW w:w="1787" w:type="dxa"/>
                  <w:vAlign w:val="bottom"/>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199,322</w:t>
                  </w:r>
                </w:p>
              </w:tc>
              <w:tc>
                <w:tcPr>
                  <w:tcW w:w="1276" w:type="dxa"/>
                  <w:vAlign w:val="bottom"/>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20.35%</w:t>
                  </w:r>
                </w:p>
              </w:tc>
            </w:tr>
            <w:tr w:rsidR="00093CB9" w:rsidRPr="000C45C8" w:rsidTr="0032364C">
              <w:trPr>
                <w:trHeight w:val="257"/>
              </w:trPr>
              <w:tc>
                <w:tcPr>
                  <w:tcW w:w="1485" w:type="dxa"/>
                  <w:shd w:val="clear" w:color="auto" w:fill="auto"/>
                  <w:noWrap/>
                  <w:vAlign w:val="bottom"/>
                  <w:hideMark/>
                </w:tcPr>
                <w:p w:rsidR="00093CB9" w:rsidRPr="00093CB9" w:rsidRDefault="00093CB9" w:rsidP="00093CB9">
                  <w:pPr>
                    <w:jc w:val="center"/>
                    <w:rPr>
                      <w:rFonts w:ascii="Times New Roman" w:hAnsi="Times New Roman" w:cs="Times New Roman"/>
                      <w:b/>
                      <w:bCs/>
                      <w:color w:val="000000"/>
                      <w:sz w:val="14"/>
                      <w:szCs w:val="14"/>
                    </w:rPr>
                  </w:pPr>
                  <w:r w:rsidRPr="00093CB9">
                    <w:rPr>
                      <w:rFonts w:ascii="Times New Roman" w:hAnsi="Times New Roman" w:cs="Times New Roman"/>
                      <w:b/>
                      <w:bCs/>
                      <w:color w:val="000000"/>
                      <w:sz w:val="14"/>
                      <w:szCs w:val="14"/>
                    </w:rPr>
                    <w:t>Industrials</w:t>
                  </w:r>
                </w:p>
              </w:tc>
              <w:tc>
                <w:tcPr>
                  <w:tcW w:w="1228" w:type="dxa"/>
                  <w:shd w:val="clear" w:color="auto" w:fill="auto"/>
                  <w:noWrap/>
                  <w:vAlign w:val="bottom"/>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64</w:t>
                  </w:r>
                </w:p>
              </w:tc>
              <w:tc>
                <w:tcPr>
                  <w:tcW w:w="1787" w:type="dxa"/>
                  <w:vAlign w:val="bottom"/>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100,732</w:t>
                  </w:r>
                </w:p>
              </w:tc>
              <w:tc>
                <w:tcPr>
                  <w:tcW w:w="1276" w:type="dxa"/>
                  <w:vAlign w:val="bottom"/>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10.28%</w:t>
                  </w:r>
                </w:p>
              </w:tc>
            </w:tr>
            <w:tr w:rsidR="00093CB9" w:rsidRPr="000C45C8" w:rsidTr="0032364C">
              <w:trPr>
                <w:trHeight w:val="312"/>
              </w:trPr>
              <w:tc>
                <w:tcPr>
                  <w:tcW w:w="1485" w:type="dxa"/>
                  <w:shd w:val="clear" w:color="auto" w:fill="auto"/>
                  <w:noWrap/>
                  <w:vAlign w:val="bottom"/>
                  <w:hideMark/>
                </w:tcPr>
                <w:p w:rsidR="00093CB9" w:rsidRPr="00093CB9" w:rsidRDefault="00093CB9" w:rsidP="00093CB9">
                  <w:pPr>
                    <w:jc w:val="center"/>
                    <w:rPr>
                      <w:rFonts w:ascii="Times New Roman" w:hAnsi="Times New Roman" w:cs="Times New Roman"/>
                      <w:b/>
                      <w:bCs/>
                      <w:color w:val="000000"/>
                      <w:sz w:val="14"/>
                      <w:szCs w:val="14"/>
                    </w:rPr>
                  </w:pPr>
                  <w:r w:rsidRPr="00093CB9">
                    <w:rPr>
                      <w:rFonts w:ascii="Times New Roman" w:hAnsi="Times New Roman" w:cs="Times New Roman"/>
                      <w:b/>
                      <w:bCs/>
                      <w:color w:val="000000"/>
                      <w:sz w:val="14"/>
                      <w:szCs w:val="14"/>
                    </w:rPr>
                    <w:t>Materials</w:t>
                  </w:r>
                </w:p>
              </w:tc>
              <w:tc>
                <w:tcPr>
                  <w:tcW w:w="1228" w:type="dxa"/>
                  <w:shd w:val="clear" w:color="auto" w:fill="auto"/>
                  <w:noWrap/>
                  <w:vAlign w:val="bottom"/>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37</w:t>
                  </w:r>
                </w:p>
              </w:tc>
              <w:tc>
                <w:tcPr>
                  <w:tcW w:w="1787" w:type="dxa"/>
                  <w:vAlign w:val="bottom"/>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62,013</w:t>
                  </w:r>
                </w:p>
              </w:tc>
              <w:tc>
                <w:tcPr>
                  <w:tcW w:w="1276" w:type="dxa"/>
                  <w:vAlign w:val="bottom"/>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6.33%</w:t>
                  </w:r>
                </w:p>
              </w:tc>
            </w:tr>
            <w:bookmarkEnd w:id="1"/>
          </w:tbl>
          <w:p w:rsidR="00682A04" w:rsidRDefault="00682A0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0864A4" w:rsidRDefault="000864A4" w:rsidP="00682A04">
            <w:pPr>
              <w:jc w:val="center"/>
              <w:rPr>
                <w:rFonts w:ascii="Times New Roman" w:eastAsia="Times New Roman" w:hAnsi="Times New Roman" w:cs="Times New Roman"/>
                <w:b/>
                <w:color w:val="FFFFFF" w:themeColor="background1"/>
                <w:szCs w:val="12"/>
              </w:rPr>
            </w:pPr>
          </w:p>
          <w:p w:rsidR="000864A4" w:rsidRDefault="000864A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Default="00335754" w:rsidP="00682A04">
            <w:pPr>
              <w:jc w:val="center"/>
              <w:rPr>
                <w:rFonts w:ascii="Times New Roman" w:eastAsia="Times New Roman" w:hAnsi="Times New Roman" w:cs="Times New Roman"/>
                <w:b/>
                <w:color w:val="FFFFFF" w:themeColor="background1"/>
                <w:szCs w:val="12"/>
              </w:rPr>
            </w:pPr>
          </w:p>
          <w:p w:rsidR="00335754" w:rsidRPr="0006583E" w:rsidRDefault="00335754" w:rsidP="00682A04">
            <w:pPr>
              <w:jc w:val="center"/>
              <w:rPr>
                <w:rFonts w:ascii="Times New Roman" w:eastAsia="Times New Roman" w:hAnsi="Times New Roman" w:cs="Times New Roman"/>
                <w:b/>
                <w:color w:val="FFFFFF" w:themeColor="background1"/>
                <w:szCs w:val="12"/>
              </w:rPr>
            </w:pPr>
          </w:p>
        </w:tc>
        <w:tc>
          <w:tcPr>
            <w:tcW w:w="5757" w:type="dxa"/>
            <w:gridSpan w:val="7"/>
            <w:vMerge/>
          </w:tcPr>
          <w:p w:rsidR="00682A04" w:rsidRPr="006D2F55" w:rsidRDefault="00682A04" w:rsidP="00252690">
            <w:pPr>
              <w:jc w:val="center"/>
              <w:rPr>
                <w:rFonts w:ascii="Arial" w:eastAsia="Times New Roman" w:hAnsi="Arial" w:cs="Arial"/>
              </w:rPr>
            </w:pPr>
          </w:p>
        </w:tc>
      </w:tr>
      <w:tr w:rsidR="00FA53D4" w:rsidRPr="006D2F55" w:rsidTr="00474BB6">
        <w:trPr>
          <w:gridAfter w:val="1"/>
          <w:wAfter w:w="49" w:type="dxa"/>
          <w:trHeight w:val="710"/>
          <w:jc w:val="center"/>
        </w:trPr>
        <w:tc>
          <w:tcPr>
            <w:tcW w:w="8906" w:type="dxa"/>
            <w:gridSpan w:val="6"/>
            <w:shd w:val="clear" w:color="auto" w:fill="0070C0"/>
            <w:vAlign w:val="center"/>
          </w:tcPr>
          <w:p w:rsidR="00FA53D4" w:rsidRPr="006D2F55" w:rsidRDefault="00FA53D4" w:rsidP="005266FC">
            <w:pPr>
              <w:rPr>
                <w:rFonts w:ascii="Times New Roman" w:hAnsi="Times New Roman" w:cs="Times New Roman"/>
                <w:b/>
                <w:color w:val="FFFFFF" w:themeColor="background1"/>
                <w:sz w:val="52"/>
                <w:szCs w:val="52"/>
              </w:rPr>
            </w:pPr>
            <w:r>
              <w:rPr>
                <w:rFonts w:ascii="Times New Roman" w:hAnsi="Times New Roman" w:cs="Times New Roman"/>
                <w:b/>
                <w:color w:val="FFFFFF" w:themeColor="background1"/>
                <w:sz w:val="44"/>
                <w:szCs w:val="52"/>
              </w:rPr>
              <w:lastRenderedPageBreak/>
              <w:t>VN30 Index</w:t>
            </w:r>
          </w:p>
        </w:tc>
        <w:tc>
          <w:tcPr>
            <w:tcW w:w="2306" w:type="dxa"/>
            <w:gridSpan w:val="2"/>
            <w:shd w:val="clear" w:color="auto" w:fill="0070C0"/>
            <w:vAlign w:val="bottom"/>
          </w:tcPr>
          <w:p w:rsidR="00FA53D4" w:rsidRPr="00D6169B" w:rsidRDefault="00FA53D4" w:rsidP="005266FC">
            <w:pPr>
              <w:spacing w:after="120"/>
              <w:jc w:val="right"/>
              <w:rPr>
                <w:rFonts w:ascii="Times New Roman" w:eastAsia="Times New Roman" w:hAnsi="Times New Roman" w:cs="Times New Roman"/>
                <w:b/>
                <w:color w:val="FFFFFF" w:themeColor="background1"/>
                <w:sz w:val="18"/>
                <w:szCs w:val="18"/>
              </w:rPr>
            </w:pPr>
            <w:r w:rsidRPr="00D6169B">
              <w:rPr>
                <w:rFonts w:ascii="Times New Roman" w:eastAsia="Times New Roman" w:hAnsi="Times New Roman" w:cs="Times New Roman"/>
                <w:b/>
                <w:color w:val="FFFFFF" w:themeColor="background1"/>
                <w:sz w:val="18"/>
                <w:szCs w:val="18"/>
              </w:rPr>
              <w:t xml:space="preserve">Data as at: </w:t>
            </w:r>
            <w:r w:rsidR="001D5280">
              <w:rPr>
                <w:rFonts w:ascii="Times New Roman" w:eastAsia="Times New Roman" w:hAnsi="Times New Roman" w:cs="Times New Roman"/>
                <w:b/>
                <w:color w:val="FFFFFF" w:themeColor="background1"/>
                <w:sz w:val="18"/>
                <w:szCs w:val="18"/>
              </w:rPr>
              <w:t>31</w:t>
            </w:r>
            <w:r>
              <w:rPr>
                <w:rFonts w:ascii="Times New Roman" w:eastAsia="Times New Roman" w:hAnsi="Times New Roman" w:cs="Times New Roman"/>
                <w:b/>
                <w:color w:val="FFFFFF" w:themeColor="background1"/>
                <w:sz w:val="18"/>
                <w:szCs w:val="18"/>
              </w:rPr>
              <w:t xml:space="preserve"> </w:t>
            </w:r>
            <w:r w:rsidR="00E93BA2">
              <w:rPr>
                <w:rFonts w:ascii="Times New Roman" w:eastAsia="Times New Roman" w:hAnsi="Times New Roman" w:cs="Times New Roman"/>
                <w:b/>
                <w:color w:val="FFFFFF" w:themeColor="background1"/>
                <w:sz w:val="18"/>
                <w:szCs w:val="18"/>
              </w:rPr>
              <w:t>May</w:t>
            </w:r>
            <w:r>
              <w:rPr>
                <w:rFonts w:ascii="Times New Roman" w:eastAsia="Times New Roman" w:hAnsi="Times New Roman" w:cs="Times New Roman"/>
                <w:b/>
                <w:color w:val="FFFFFF" w:themeColor="background1"/>
                <w:sz w:val="18"/>
                <w:szCs w:val="18"/>
              </w:rPr>
              <w:t xml:space="preserve"> 2019</w:t>
            </w:r>
          </w:p>
        </w:tc>
      </w:tr>
      <w:tr w:rsidR="00FA53D4" w:rsidRPr="006D2F55" w:rsidTr="00474BB6">
        <w:trPr>
          <w:gridAfter w:val="1"/>
          <w:wAfter w:w="49" w:type="dxa"/>
          <w:trHeight w:hRule="exact" w:val="447"/>
          <w:jc w:val="center"/>
        </w:trPr>
        <w:tc>
          <w:tcPr>
            <w:tcW w:w="11212" w:type="dxa"/>
            <w:gridSpan w:val="8"/>
            <w:vAlign w:val="center"/>
          </w:tcPr>
          <w:p w:rsidR="00FA53D4" w:rsidRPr="00EC5BD1" w:rsidRDefault="00FA53D4" w:rsidP="005266FC">
            <w:pPr>
              <w:jc w:val="both"/>
              <w:rPr>
                <w:rFonts w:ascii="Times New Roman" w:hAnsi="Times New Roman" w:cs="Times New Roman"/>
                <w:b/>
                <w:sz w:val="16"/>
                <w:szCs w:val="16"/>
              </w:rPr>
            </w:pPr>
            <w:r w:rsidRPr="001704E5">
              <w:rPr>
                <w:rFonts w:ascii="Times New Roman" w:hAnsi="Times New Roman" w:cs="Times New Roman"/>
                <w:b/>
                <w:sz w:val="16"/>
                <w:szCs w:val="16"/>
              </w:rPr>
              <w:t xml:space="preserve">VN30 </w:t>
            </w:r>
            <w:r w:rsidRPr="001704E5">
              <w:rPr>
                <w:rFonts w:ascii="Times New Roman" w:hAnsi="Times New Roman" w:cs="Times New Roman"/>
                <w:sz w:val="16"/>
                <w:szCs w:val="16"/>
              </w:rPr>
              <w:t xml:space="preserve">is a market-capitalization weighted index </w:t>
            </w:r>
            <w:r>
              <w:rPr>
                <w:rFonts w:ascii="Times New Roman" w:hAnsi="Times New Roman" w:cs="Times New Roman"/>
                <w:sz w:val="16"/>
                <w:szCs w:val="16"/>
              </w:rPr>
              <w:t xml:space="preserve">which measures </w:t>
            </w:r>
            <w:r w:rsidRPr="001704E5">
              <w:rPr>
                <w:rFonts w:ascii="Times New Roman" w:hAnsi="Times New Roman" w:cs="Times New Roman"/>
                <w:sz w:val="16"/>
                <w:szCs w:val="16"/>
              </w:rPr>
              <w:t xml:space="preserve">the performance of </w:t>
            </w:r>
            <w:r>
              <w:rPr>
                <w:rFonts w:ascii="Times New Roman" w:hAnsi="Times New Roman" w:cs="Times New Roman"/>
                <w:sz w:val="16"/>
                <w:szCs w:val="16"/>
              </w:rPr>
              <w:t>30 large cap and high liquidity stocks</w:t>
            </w:r>
            <w:r w:rsidRPr="001704E5">
              <w:rPr>
                <w:rFonts w:ascii="Times New Roman" w:hAnsi="Times New Roman" w:cs="Times New Roman"/>
                <w:sz w:val="16"/>
                <w:szCs w:val="16"/>
              </w:rPr>
              <w:t xml:space="preserve"> from </w:t>
            </w:r>
            <w:proofErr w:type="spellStart"/>
            <w:r w:rsidRPr="001704E5">
              <w:rPr>
                <w:rFonts w:ascii="Times New Roman" w:hAnsi="Times New Roman" w:cs="Times New Roman"/>
                <w:sz w:val="16"/>
                <w:szCs w:val="16"/>
              </w:rPr>
              <w:t>VNAllshare</w:t>
            </w:r>
            <w:proofErr w:type="spellEnd"/>
            <w:r w:rsidRPr="001704E5">
              <w:rPr>
                <w:rFonts w:ascii="Times New Roman" w:hAnsi="Times New Roman" w:cs="Times New Roman"/>
                <w:sz w:val="16"/>
                <w:szCs w:val="16"/>
              </w:rPr>
              <w:t>.</w:t>
            </w:r>
          </w:p>
        </w:tc>
      </w:tr>
      <w:tr w:rsidR="00FA53D4" w:rsidRPr="006D2F55" w:rsidTr="00474BB6">
        <w:trPr>
          <w:trHeight w:hRule="exact" w:val="302"/>
          <w:jc w:val="center"/>
        </w:trPr>
        <w:tc>
          <w:tcPr>
            <w:tcW w:w="5575" w:type="dxa"/>
            <w:gridSpan w:val="2"/>
            <w:shd w:val="clear" w:color="auto" w:fill="0070C0"/>
            <w:vAlign w:val="center"/>
          </w:tcPr>
          <w:p w:rsidR="00FA53D4" w:rsidRPr="006D2F55" w:rsidRDefault="00FA53D4" w:rsidP="005266FC">
            <w:pPr>
              <w:tabs>
                <w:tab w:val="center" w:pos="2700"/>
                <w:tab w:val="left" w:pos="4236"/>
              </w:tabs>
              <w:rPr>
                <w:rFonts w:ascii="Times New Roman" w:hAnsi="Times New Roman" w:cs="Times New Roman"/>
              </w:rPr>
            </w:pPr>
            <w:r>
              <w:rPr>
                <w:rFonts w:ascii="Times New Roman" w:hAnsi="Times New Roman" w:cs="Times New Roman"/>
                <w:b/>
                <w:color w:val="FFFFFF" w:themeColor="background1"/>
              </w:rPr>
              <w:t>Index Characteristics</w:t>
            </w:r>
          </w:p>
        </w:tc>
        <w:tc>
          <w:tcPr>
            <w:tcW w:w="250" w:type="dxa"/>
            <w:gridSpan w:val="3"/>
            <w:shd w:val="clear" w:color="auto" w:fill="auto"/>
            <w:vAlign w:val="center"/>
          </w:tcPr>
          <w:p w:rsidR="00FA53D4" w:rsidRPr="006D2F55" w:rsidRDefault="00FA53D4" w:rsidP="005266FC">
            <w:pPr>
              <w:jc w:val="center"/>
              <w:rPr>
                <w:rFonts w:ascii="Times New Roman" w:hAnsi="Times New Roman" w:cs="Times New Roman"/>
              </w:rPr>
            </w:pPr>
          </w:p>
        </w:tc>
        <w:tc>
          <w:tcPr>
            <w:tcW w:w="5436" w:type="dxa"/>
            <w:gridSpan w:val="4"/>
            <w:shd w:val="clear" w:color="auto" w:fill="0070C0"/>
            <w:vAlign w:val="center"/>
          </w:tcPr>
          <w:p w:rsidR="00FA53D4" w:rsidRPr="006D2F55" w:rsidRDefault="00FA53D4" w:rsidP="005266FC">
            <w:pPr>
              <w:rPr>
                <w:rFonts w:ascii="Times New Roman" w:hAnsi="Times New Roman" w:cs="Times New Roman"/>
                <w:b/>
                <w:color w:val="FFFFFF" w:themeColor="background1"/>
              </w:rPr>
            </w:pPr>
            <w:r>
              <w:rPr>
                <w:rFonts w:ascii="Times New Roman" w:hAnsi="Times New Roman" w:cs="Times New Roman"/>
                <w:b/>
                <w:color w:val="FFFFFF" w:themeColor="background1"/>
              </w:rPr>
              <w:t>Information</w:t>
            </w:r>
          </w:p>
        </w:tc>
      </w:tr>
      <w:tr w:rsidR="00FA53D4" w:rsidRPr="006D2F55" w:rsidTr="00474BB6">
        <w:trPr>
          <w:gridAfter w:val="1"/>
          <w:wAfter w:w="49" w:type="dxa"/>
          <w:trHeight w:hRule="exact" w:val="2134"/>
          <w:jc w:val="center"/>
        </w:trPr>
        <w:tc>
          <w:tcPr>
            <w:tcW w:w="5776" w:type="dxa"/>
            <w:gridSpan w:val="4"/>
          </w:tcPr>
          <w:tbl>
            <w:tblPr>
              <w:tblStyle w:val="LightList-Accent5"/>
              <w:tblpPr w:leftFromText="180" w:rightFromText="180" w:vertAnchor="page" w:horzAnchor="margin" w:tblpXSpec="center" w:tblpY="1"/>
              <w:tblOverlap w:val="never"/>
              <w:tblW w:w="17270" w:type="dxa"/>
              <w:tblBorders>
                <w:top w:val="single" w:sz="8" w:space="0" w:color="0070C0"/>
                <w:left w:val="none" w:sz="0" w:space="0" w:color="auto"/>
                <w:bottom w:val="single" w:sz="8" w:space="0" w:color="0070C0"/>
                <w:right w:val="none" w:sz="0" w:space="0" w:color="auto"/>
                <w:insideH w:val="single" w:sz="8" w:space="0" w:color="0070C0"/>
              </w:tblBorders>
              <w:tblLayout w:type="fixed"/>
              <w:tblLook w:val="04A0" w:firstRow="1" w:lastRow="0" w:firstColumn="1" w:lastColumn="0" w:noHBand="0" w:noVBand="1"/>
            </w:tblPr>
            <w:tblGrid>
              <w:gridCol w:w="4475"/>
              <w:gridCol w:w="1195"/>
              <w:gridCol w:w="1195"/>
              <w:gridCol w:w="1195"/>
              <w:gridCol w:w="1195"/>
              <w:gridCol w:w="1195"/>
              <w:gridCol w:w="1705"/>
              <w:gridCol w:w="1705"/>
              <w:gridCol w:w="1705"/>
              <w:gridCol w:w="1705"/>
            </w:tblGrid>
            <w:tr w:rsidR="00E93BA2" w:rsidRPr="00301A9C" w:rsidTr="00A9167C">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9C571F" w:rsidRDefault="00E93BA2" w:rsidP="00E93BA2">
                  <w:pPr>
                    <w:rPr>
                      <w:rFonts w:ascii="Times New Roman" w:eastAsia="Times New Roman" w:hAnsi="Times New Roman" w:cs="Times New Roman"/>
                      <w:color w:val="auto"/>
                      <w:sz w:val="16"/>
                      <w:szCs w:val="16"/>
                    </w:rPr>
                  </w:pPr>
                  <w:r w:rsidRPr="009C571F">
                    <w:rPr>
                      <w:rFonts w:ascii="Times New Roman" w:eastAsia="Times New Roman" w:hAnsi="Times New Roman" w:cs="Times New Roman"/>
                      <w:color w:val="auto"/>
                      <w:sz w:val="16"/>
                      <w:szCs w:val="16"/>
                    </w:rPr>
                    <w:t>Number of Constituents</w:t>
                  </w:r>
                </w:p>
              </w:tc>
              <w:tc>
                <w:tcPr>
                  <w:tcW w:w="1195" w:type="dxa"/>
                  <w:vAlign w:val="bottom"/>
                </w:tcPr>
                <w:p w:rsidR="00E93BA2" w:rsidRPr="00C65498"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65498">
                    <w:rPr>
                      <w:rFonts w:ascii="Times New Roman" w:hAnsi="Times New Roman" w:cs="Times New Roman"/>
                      <w:color w:val="000000"/>
                      <w:sz w:val="16"/>
                      <w:szCs w:val="16"/>
                    </w:rPr>
                    <w:t>30</w:t>
                  </w:r>
                </w:p>
              </w:tc>
              <w:tc>
                <w:tcPr>
                  <w:tcW w:w="1195" w:type="dxa"/>
                  <w:vAlign w:val="center"/>
                </w:tcPr>
                <w:p w:rsidR="00E93BA2" w:rsidRPr="00B00831"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00831">
                    <w:rPr>
                      <w:rFonts w:ascii="Times New Roman" w:hAnsi="Times New Roman" w:cs="Times New Roman"/>
                      <w:color w:val="000000"/>
                      <w:sz w:val="16"/>
                      <w:szCs w:val="16"/>
                    </w:rPr>
                    <w:t>30</w:t>
                  </w:r>
                </w:p>
              </w:tc>
              <w:tc>
                <w:tcPr>
                  <w:tcW w:w="1195" w:type="dxa"/>
                  <w:shd w:val="clear" w:color="auto" w:fill="auto"/>
                </w:tcPr>
                <w:p w:rsidR="00E93BA2"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1195" w:type="dxa"/>
                  <w:shd w:val="clear" w:color="auto" w:fill="auto"/>
                </w:tcPr>
                <w:p w:rsidR="00E93BA2"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1195" w:type="dxa"/>
                  <w:shd w:val="clear" w:color="auto" w:fill="auto"/>
                  <w:vAlign w:val="center"/>
                </w:tcPr>
                <w:p w:rsidR="00E93BA2"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1705" w:type="dxa"/>
                  <w:shd w:val="clear" w:color="auto" w:fill="auto"/>
                  <w:vAlign w:val="center"/>
                </w:tcPr>
                <w:p w:rsidR="00E93BA2" w:rsidRPr="00A001FF"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A001FF">
                    <w:rPr>
                      <w:rFonts w:ascii="Times New Roman" w:hAnsi="Times New Roman" w:cs="Times New Roman"/>
                      <w:b w:val="0"/>
                      <w:color w:val="000000"/>
                      <w:sz w:val="16"/>
                      <w:szCs w:val="16"/>
                    </w:rPr>
                    <w:t>30</w:t>
                  </w:r>
                </w:p>
              </w:tc>
              <w:tc>
                <w:tcPr>
                  <w:tcW w:w="1705" w:type="dxa"/>
                  <w:shd w:val="clear" w:color="auto" w:fill="auto"/>
                  <w:vAlign w:val="center"/>
                </w:tcPr>
                <w:p w:rsidR="00E93BA2" w:rsidRPr="00C94582"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C94582">
                    <w:rPr>
                      <w:rFonts w:ascii="Times New Roman" w:hAnsi="Times New Roman" w:cs="Times New Roman"/>
                      <w:b w:val="0"/>
                      <w:color w:val="000000"/>
                      <w:sz w:val="16"/>
                      <w:szCs w:val="16"/>
                    </w:rPr>
                    <w:t>30</w:t>
                  </w:r>
                </w:p>
              </w:tc>
              <w:tc>
                <w:tcPr>
                  <w:tcW w:w="1705" w:type="dxa"/>
                  <w:shd w:val="clear" w:color="auto" w:fill="auto"/>
                  <w:vAlign w:val="center"/>
                </w:tcPr>
                <w:p w:rsidR="00E93BA2" w:rsidRPr="0055478F"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55478F">
                    <w:rPr>
                      <w:rFonts w:ascii="Times New Roman" w:hAnsi="Times New Roman" w:cs="Times New Roman"/>
                      <w:b w:val="0"/>
                      <w:color w:val="000000"/>
                      <w:sz w:val="16"/>
                      <w:szCs w:val="16"/>
                    </w:rPr>
                    <w:t>30</w:t>
                  </w:r>
                </w:p>
              </w:tc>
              <w:tc>
                <w:tcPr>
                  <w:tcW w:w="1705" w:type="dxa"/>
                  <w:shd w:val="clear" w:color="auto" w:fill="auto"/>
                  <w:vAlign w:val="center"/>
                </w:tcPr>
                <w:p w:rsidR="00E93BA2" w:rsidRPr="00C30FA9"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C30FA9">
                    <w:rPr>
                      <w:rFonts w:ascii="Times New Roman" w:hAnsi="Times New Roman" w:cs="Times New Roman"/>
                      <w:b w:val="0"/>
                      <w:color w:val="000000"/>
                      <w:sz w:val="16"/>
                      <w:szCs w:val="16"/>
                    </w:rPr>
                    <w:t>30</w:t>
                  </w:r>
                </w:p>
              </w:tc>
            </w:tr>
            <w:tr w:rsidR="00E93BA2" w:rsidRPr="00301A9C" w:rsidTr="00A9167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F26A05" w:rsidRDefault="00E93BA2" w:rsidP="00E93BA2">
                  <w:pPr>
                    <w:rPr>
                      <w:rFonts w:ascii="Times New Roman" w:eastAsia="Times New Roman" w:hAnsi="Times New Roman" w:cs="Times New Roman"/>
                      <w:b w:val="0"/>
                      <w:sz w:val="16"/>
                      <w:szCs w:val="16"/>
                    </w:rPr>
                  </w:pPr>
                  <w:r w:rsidRPr="00F26A05">
                    <w:rPr>
                      <w:rFonts w:ascii="Times New Roman" w:eastAsia="Times New Roman" w:hAnsi="Times New Roman" w:cs="Times New Roman"/>
                      <w:sz w:val="16"/>
                      <w:szCs w:val="16"/>
                    </w:rPr>
                    <w:t xml:space="preserve">Full Market-Capitalization </w:t>
                  </w:r>
                  <w:r w:rsidRPr="006235F1">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Billion </w:t>
                  </w:r>
                  <w:r w:rsidRPr="006235F1">
                    <w:rPr>
                      <w:rFonts w:ascii="Times New Roman" w:eastAsia="Times New Roman" w:hAnsi="Times New Roman" w:cs="Times New Roman"/>
                      <w:sz w:val="16"/>
                      <w:szCs w:val="16"/>
                    </w:rPr>
                    <w:t>VND)</w:t>
                  </w:r>
                </w:p>
              </w:tc>
              <w:tc>
                <w:tcPr>
                  <w:tcW w:w="1195" w:type="dxa"/>
                  <w:vAlign w:val="bottom"/>
                </w:tcPr>
                <w:p w:rsidR="00E93BA2" w:rsidRPr="00C65498"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65498">
                    <w:rPr>
                      <w:rFonts w:ascii="Times New Roman" w:hAnsi="Times New Roman" w:cs="Times New Roman"/>
                      <w:color w:val="000000"/>
                      <w:sz w:val="16"/>
                      <w:szCs w:val="16"/>
                    </w:rPr>
                    <w:t>2,350,098</w:t>
                  </w:r>
                </w:p>
              </w:tc>
              <w:tc>
                <w:tcPr>
                  <w:tcW w:w="1195" w:type="dxa"/>
                  <w:vAlign w:val="bottom"/>
                </w:tcPr>
                <w:p w:rsidR="00E93BA2" w:rsidRPr="00E36F05"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2,399,314</w:t>
                  </w:r>
                </w:p>
              </w:tc>
              <w:tc>
                <w:tcPr>
                  <w:tcW w:w="119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2,362,794</w:t>
                  </w:r>
                </w:p>
              </w:tc>
              <w:tc>
                <w:tcPr>
                  <w:tcW w:w="119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2,143,718</w:t>
                  </w:r>
                </w:p>
              </w:tc>
              <w:tc>
                <w:tcPr>
                  <w:tcW w:w="1195" w:type="dxa"/>
                  <w:shd w:val="clear" w:color="auto" w:fill="auto"/>
                  <w:vAlign w:val="center"/>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1,042,343</w:t>
                  </w:r>
                </w:p>
              </w:tc>
              <w:tc>
                <w:tcPr>
                  <w:tcW w:w="1705" w:type="dxa"/>
                  <w:shd w:val="clear" w:color="auto" w:fill="auto"/>
                  <w:vAlign w:val="center"/>
                </w:tcPr>
                <w:p w:rsidR="00E93BA2" w:rsidRPr="00A001FF"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A001FF">
                    <w:rPr>
                      <w:rFonts w:ascii="Times New Roman" w:hAnsi="Times New Roman" w:cs="Times New Roman"/>
                      <w:color w:val="000000"/>
                      <w:sz w:val="16"/>
                      <w:szCs w:val="16"/>
                    </w:rPr>
                    <w:t>1,045,617</w:t>
                  </w:r>
                </w:p>
              </w:tc>
              <w:tc>
                <w:tcPr>
                  <w:tcW w:w="1705" w:type="dxa"/>
                  <w:shd w:val="clear" w:color="auto" w:fill="auto"/>
                  <w:vAlign w:val="center"/>
                </w:tcPr>
                <w:p w:rsidR="00E93BA2" w:rsidRPr="00C9458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94582">
                    <w:rPr>
                      <w:rFonts w:ascii="Times New Roman" w:hAnsi="Times New Roman" w:cs="Times New Roman"/>
                      <w:color w:val="000000"/>
                      <w:sz w:val="16"/>
                      <w:szCs w:val="16"/>
                    </w:rPr>
                    <w:t>997,461</w:t>
                  </w:r>
                </w:p>
              </w:tc>
              <w:tc>
                <w:tcPr>
                  <w:tcW w:w="1705" w:type="dxa"/>
                  <w:shd w:val="clear" w:color="auto" w:fill="auto"/>
                  <w:vAlign w:val="center"/>
                </w:tcPr>
                <w:p w:rsidR="00E93BA2" w:rsidRPr="0055478F"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5478F">
                    <w:rPr>
                      <w:rFonts w:ascii="Times New Roman" w:hAnsi="Times New Roman" w:cs="Times New Roman"/>
                      <w:color w:val="000000"/>
                      <w:sz w:val="16"/>
                      <w:szCs w:val="16"/>
                    </w:rPr>
                    <w:t>774,158</w:t>
                  </w:r>
                </w:p>
              </w:tc>
              <w:tc>
                <w:tcPr>
                  <w:tcW w:w="1705" w:type="dxa"/>
                  <w:shd w:val="clear" w:color="auto" w:fill="auto"/>
                  <w:vAlign w:val="center"/>
                </w:tcPr>
                <w:p w:rsidR="00E93BA2" w:rsidRPr="00C30FA9"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774,158,368,759</w:t>
                  </w:r>
                </w:p>
              </w:tc>
            </w:tr>
            <w:tr w:rsidR="00E93BA2" w:rsidRPr="00301A9C" w:rsidTr="00A9167C">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F26A05" w:rsidRDefault="00E93BA2" w:rsidP="00E93BA2">
                  <w:pPr>
                    <w:rPr>
                      <w:rFonts w:ascii="Times New Roman" w:eastAsia="Times New Roman" w:hAnsi="Times New Roman" w:cs="Times New Roman"/>
                      <w:sz w:val="16"/>
                      <w:szCs w:val="16"/>
                    </w:rPr>
                  </w:pPr>
                  <w:r>
                    <w:rPr>
                      <w:rFonts w:ascii="Times New Roman" w:eastAsia="Times New Roman" w:hAnsi="Times New Roman" w:cs="Times New Roman"/>
                      <w:sz w:val="16"/>
                      <w:szCs w:val="16"/>
                    </w:rPr>
                    <w:t>Free-</w:t>
                  </w:r>
                  <w:r w:rsidRPr="00F26A05">
                    <w:rPr>
                      <w:rFonts w:ascii="Times New Roman" w:eastAsia="Times New Roman" w:hAnsi="Times New Roman" w:cs="Times New Roman"/>
                      <w:sz w:val="16"/>
                      <w:szCs w:val="16"/>
                    </w:rPr>
                    <w:t xml:space="preserve">float adjusted Market-Capitalization </w:t>
                  </w:r>
                  <w:r w:rsidRPr="006235F1">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Billion </w:t>
                  </w:r>
                  <w:r w:rsidRPr="006235F1">
                    <w:rPr>
                      <w:rFonts w:ascii="Times New Roman" w:eastAsia="Times New Roman" w:hAnsi="Times New Roman" w:cs="Times New Roman"/>
                      <w:sz w:val="16"/>
                      <w:szCs w:val="16"/>
                    </w:rPr>
                    <w:t>VND)</w:t>
                  </w:r>
                </w:p>
              </w:tc>
              <w:tc>
                <w:tcPr>
                  <w:tcW w:w="1195" w:type="dxa"/>
                  <w:vAlign w:val="bottom"/>
                </w:tcPr>
                <w:p w:rsidR="00E93BA2" w:rsidRPr="00C65498"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65498">
                    <w:rPr>
                      <w:rFonts w:ascii="Times New Roman" w:hAnsi="Times New Roman" w:cs="Times New Roman"/>
                      <w:color w:val="000000"/>
                      <w:sz w:val="16"/>
                      <w:szCs w:val="16"/>
                    </w:rPr>
                    <w:t>790,328</w:t>
                  </w:r>
                </w:p>
              </w:tc>
              <w:tc>
                <w:tcPr>
                  <w:tcW w:w="1195" w:type="dxa"/>
                  <w:vAlign w:val="bottom"/>
                </w:tcPr>
                <w:p w:rsidR="00E93BA2" w:rsidRPr="00E36F05"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818,966</w:t>
                  </w:r>
                </w:p>
              </w:tc>
              <w:tc>
                <w:tcPr>
                  <w:tcW w:w="119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830,531</w:t>
                  </w:r>
                </w:p>
              </w:tc>
              <w:tc>
                <w:tcPr>
                  <w:tcW w:w="119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631,627</w:t>
                  </w:r>
                </w:p>
              </w:tc>
              <w:tc>
                <w:tcPr>
                  <w:tcW w:w="1195" w:type="dxa"/>
                  <w:shd w:val="clear" w:color="auto" w:fill="auto"/>
                  <w:vAlign w:val="center"/>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345,174</w:t>
                  </w:r>
                </w:p>
              </w:tc>
              <w:tc>
                <w:tcPr>
                  <w:tcW w:w="1705" w:type="dxa"/>
                  <w:shd w:val="clear" w:color="auto" w:fill="auto"/>
                  <w:vAlign w:val="center"/>
                </w:tcPr>
                <w:p w:rsidR="00E93BA2" w:rsidRPr="00A001FF"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01FF">
                    <w:rPr>
                      <w:rFonts w:ascii="Times New Roman" w:hAnsi="Times New Roman" w:cs="Times New Roman"/>
                      <w:color w:val="000000"/>
                      <w:sz w:val="16"/>
                      <w:szCs w:val="16"/>
                    </w:rPr>
                    <w:t>341,030</w:t>
                  </w:r>
                </w:p>
              </w:tc>
              <w:tc>
                <w:tcPr>
                  <w:tcW w:w="1705" w:type="dxa"/>
                  <w:shd w:val="clear" w:color="auto" w:fill="auto"/>
                  <w:vAlign w:val="center"/>
                </w:tcPr>
                <w:p w:rsidR="00E93BA2" w:rsidRPr="00C9458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94582">
                    <w:rPr>
                      <w:rFonts w:ascii="Times New Roman" w:hAnsi="Times New Roman" w:cs="Times New Roman"/>
                      <w:color w:val="000000"/>
                      <w:sz w:val="16"/>
                      <w:szCs w:val="16"/>
                    </w:rPr>
                    <w:t>321,981</w:t>
                  </w:r>
                </w:p>
              </w:tc>
              <w:tc>
                <w:tcPr>
                  <w:tcW w:w="1705" w:type="dxa"/>
                  <w:shd w:val="clear" w:color="auto" w:fill="auto"/>
                  <w:vAlign w:val="center"/>
                </w:tcPr>
                <w:p w:rsidR="00E93BA2" w:rsidRPr="0055478F"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5478F">
                    <w:rPr>
                      <w:rFonts w:ascii="Times New Roman" w:hAnsi="Times New Roman" w:cs="Times New Roman"/>
                      <w:color w:val="000000"/>
                      <w:sz w:val="16"/>
                      <w:szCs w:val="16"/>
                    </w:rPr>
                    <w:t>292,670</w:t>
                  </w:r>
                </w:p>
              </w:tc>
              <w:tc>
                <w:tcPr>
                  <w:tcW w:w="1705" w:type="dxa"/>
                  <w:shd w:val="clear" w:color="auto" w:fill="auto"/>
                  <w:vAlign w:val="center"/>
                </w:tcPr>
                <w:p w:rsidR="00E93BA2" w:rsidRPr="00C30FA9"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292,669,863,151</w:t>
                  </w:r>
                </w:p>
              </w:tc>
            </w:tr>
            <w:tr w:rsidR="00E93BA2" w:rsidRPr="00301A9C" w:rsidTr="00A9167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9C571F" w:rsidRDefault="00E93BA2" w:rsidP="00E93BA2">
                  <w:pPr>
                    <w:jc w:val="center"/>
                    <w:rPr>
                      <w:rFonts w:ascii="Times New Roman" w:eastAsia="Times New Roman" w:hAnsi="Times New Roman" w:cs="Times New Roman"/>
                      <w:sz w:val="16"/>
                      <w:szCs w:val="16"/>
                    </w:rPr>
                  </w:pPr>
                  <w:r w:rsidRPr="009C571F">
                    <w:rPr>
                      <w:rFonts w:ascii="Times New Roman" w:eastAsia="Times New Roman" w:hAnsi="Times New Roman" w:cs="Times New Roman"/>
                      <w:sz w:val="16"/>
                      <w:szCs w:val="16"/>
                    </w:rPr>
                    <w:t>Average</w:t>
                  </w:r>
                </w:p>
              </w:tc>
              <w:tc>
                <w:tcPr>
                  <w:tcW w:w="1195" w:type="dxa"/>
                  <w:vAlign w:val="bottom"/>
                </w:tcPr>
                <w:p w:rsidR="00E93BA2" w:rsidRPr="00C65498"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65498">
                    <w:rPr>
                      <w:rFonts w:ascii="Times New Roman" w:hAnsi="Times New Roman" w:cs="Times New Roman"/>
                      <w:color w:val="000000"/>
                      <w:sz w:val="16"/>
                      <w:szCs w:val="16"/>
                    </w:rPr>
                    <w:t>26,344</w:t>
                  </w:r>
                </w:p>
              </w:tc>
              <w:tc>
                <w:tcPr>
                  <w:tcW w:w="1195" w:type="dxa"/>
                  <w:vAlign w:val="bottom"/>
                </w:tcPr>
                <w:p w:rsidR="00E93BA2" w:rsidRPr="00E36F05"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27,299</w:t>
                  </w:r>
                </w:p>
              </w:tc>
              <w:tc>
                <w:tcPr>
                  <w:tcW w:w="119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27,684</w:t>
                  </w:r>
                </w:p>
              </w:tc>
              <w:tc>
                <w:tcPr>
                  <w:tcW w:w="119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21,054</w:t>
                  </w:r>
                </w:p>
              </w:tc>
              <w:tc>
                <w:tcPr>
                  <w:tcW w:w="1195" w:type="dxa"/>
                  <w:shd w:val="clear" w:color="auto" w:fill="auto"/>
                  <w:vAlign w:val="center"/>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11,506</w:t>
                  </w:r>
                </w:p>
              </w:tc>
              <w:tc>
                <w:tcPr>
                  <w:tcW w:w="1705" w:type="dxa"/>
                  <w:shd w:val="clear" w:color="auto" w:fill="auto"/>
                  <w:vAlign w:val="center"/>
                </w:tcPr>
                <w:p w:rsidR="00E93BA2" w:rsidRPr="00A001FF"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A001FF">
                    <w:rPr>
                      <w:rFonts w:ascii="Times New Roman" w:hAnsi="Times New Roman" w:cs="Times New Roman"/>
                      <w:color w:val="000000"/>
                      <w:sz w:val="16"/>
                      <w:szCs w:val="16"/>
                    </w:rPr>
                    <w:t>11,368</w:t>
                  </w:r>
                </w:p>
              </w:tc>
              <w:tc>
                <w:tcPr>
                  <w:tcW w:w="1705" w:type="dxa"/>
                  <w:shd w:val="clear" w:color="auto" w:fill="auto"/>
                  <w:vAlign w:val="center"/>
                </w:tcPr>
                <w:p w:rsidR="00E93BA2" w:rsidRPr="00C9458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94582">
                    <w:rPr>
                      <w:rFonts w:ascii="Times New Roman" w:hAnsi="Times New Roman" w:cs="Times New Roman"/>
                      <w:color w:val="000000"/>
                      <w:sz w:val="16"/>
                      <w:szCs w:val="16"/>
                    </w:rPr>
                    <w:t>10,733</w:t>
                  </w:r>
                </w:p>
              </w:tc>
              <w:tc>
                <w:tcPr>
                  <w:tcW w:w="1705" w:type="dxa"/>
                  <w:shd w:val="clear" w:color="auto" w:fill="auto"/>
                  <w:vAlign w:val="center"/>
                </w:tcPr>
                <w:p w:rsidR="00E93BA2" w:rsidRPr="0055478F"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5478F">
                    <w:rPr>
                      <w:rFonts w:ascii="Times New Roman" w:hAnsi="Times New Roman" w:cs="Times New Roman"/>
                      <w:color w:val="000000"/>
                      <w:sz w:val="16"/>
                      <w:szCs w:val="16"/>
                    </w:rPr>
                    <w:t>9,756</w:t>
                  </w:r>
                </w:p>
              </w:tc>
              <w:tc>
                <w:tcPr>
                  <w:tcW w:w="1705" w:type="dxa"/>
                  <w:shd w:val="clear" w:color="auto" w:fill="auto"/>
                  <w:vAlign w:val="center"/>
                </w:tcPr>
                <w:p w:rsidR="00E93BA2" w:rsidRPr="00C30FA9"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9,755,662,105</w:t>
                  </w:r>
                </w:p>
              </w:tc>
            </w:tr>
            <w:tr w:rsidR="00E93BA2" w:rsidRPr="00301A9C" w:rsidTr="00A9167C">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9C571F" w:rsidRDefault="00E93BA2" w:rsidP="00E93BA2">
                  <w:pPr>
                    <w:jc w:val="center"/>
                    <w:rPr>
                      <w:rFonts w:ascii="Times New Roman" w:eastAsia="Times New Roman" w:hAnsi="Times New Roman" w:cs="Times New Roman"/>
                      <w:sz w:val="16"/>
                      <w:szCs w:val="16"/>
                    </w:rPr>
                  </w:pPr>
                  <w:r w:rsidRPr="009C571F">
                    <w:rPr>
                      <w:rFonts w:ascii="Times New Roman" w:eastAsia="Times New Roman" w:hAnsi="Times New Roman" w:cs="Times New Roman"/>
                      <w:sz w:val="16"/>
                      <w:szCs w:val="16"/>
                    </w:rPr>
                    <w:t>Max</w:t>
                  </w:r>
                </w:p>
              </w:tc>
              <w:tc>
                <w:tcPr>
                  <w:tcW w:w="1195" w:type="dxa"/>
                  <w:vAlign w:val="bottom"/>
                </w:tcPr>
                <w:p w:rsidR="00E93BA2" w:rsidRPr="00C65498"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65498">
                    <w:rPr>
                      <w:rFonts w:ascii="Times New Roman" w:hAnsi="Times New Roman" w:cs="Times New Roman"/>
                      <w:color w:val="000000"/>
                      <w:sz w:val="16"/>
                      <w:szCs w:val="16"/>
                    </w:rPr>
                    <w:t>112,756</w:t>
                  </w:r>
                </w:p>
              </w:tc>
              <w:tc>
                <w:tcPr>
                  <w:tcW w:w="1195" w:type="dxa"/>
                  <w:vAlign w:val="bottom"/>
                </w:tcPr>
                <w:p w:rsidR="00E93BA2" w:rsidRPr="00E36F05"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113,017</w:t>
                  </w:r>
                </w:p>
              </w:tc>
              <w:tc>
                <w:tcPr>
                  <w:tcW w:w="119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122,856</w:t>
                  </w:r>
                </w:p>
              </w:tc>
              <w:tc>
                <w:tcPr>
                  <w:tcW w:w="119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134,242</w:t>
                  </w:r>
                </w:p>
              </w:tc>
              <w:tc>
                <w:tcPr>
                  <w:tcW w:w="1195" w:type="dxa"/>
                  <w:shd w:val="clear" w:color="auto" w:fill="auto"/>
                  <w:vAlign w:val="center"/>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96,664</w:t>
                  </w:r>
                </w:p>
              </w:tc>
              <w:tc>
                <w:tcPr>
                  <w:tcW w:w="1705" w:type="dxa"/>
                  <w:shd w:val="clear" w:color="auto" w:fill="auto"/>
                  <w:vAlign w:val="center"/>
                </w:tcPr>
                <w:p w:rsidR="00E93BA2" w:rsidRPr="00A001FF"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01FF">
                    <w:rPr>
                      <w:rFonts w:ascii="Times New Roman" w:hAnsi="Times New Roman" w:cs="Times New Roman"/>
                      <w:color w:val="000000"/>
                      <w:sz w:val="16"/>
                      <w:szCs w:val="16"/>
                    </w:rPr>
                    <w:t>101,848</w:t>
                  </w:r>
                </w:p>
              </w:tc>
              <w:tc>
                <w:tcPr>
                  <w:tcW w:w="1705" w:type="dxa"/>
                  <w:shd w:val="clear" w:color="auto" w:fill="auto"/>
                  <w:vAlign w:val="center"/>
                </w:tcPr>
                <w:p w:rsidR="00E93BA2" w:rsidRPr="00C9458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94582">
                    <w:rPr>
                      <w:rFonts w:ascii="Times New Roman" w:hAnsi="Times New Roman" w:cs="Times New Roman"/>
                      <w:color w:val="000000"/>
                      <w:sz w:val="16"/>
                      <w:szCs w:val="16"/>
                    </w:rPr>
                    <w:t>85,330</w:t>
                  </w:r>
                </w:p>
              </w:tc>
              <w:tc>
                <w:tcPr>
                  <w:tcW w:w="1705" w:type="dxa"/>
                  <w:shd w:val="clear" w:color="auto" w:fill="auto"/>
                  <w:vAlign w:val="center"/>
                </w:tcPr>
                <w:p w:rsidR="00E93BA2" w:rsidRPr="0055478F"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5478F">
                    <w:rPr>
                      <w:rFonts w:ascii="Times New Roman" w:hAnsi="Times New Roman" w:cs="Times New Roman"/>
                      <w:color w:val="000000"/>
                      <w:sz w:val="16"/>
                      <w:szCs w:val="16"/>
                    </w:rPr>
                    <w:t>76,149</w:t>
                  </w:r>
                </w:p>
              </w:tc>
              <w:tc>
                <w:tcPr>
                  <w:tcW w:w="1705" w:type="dxa"/>
                  <w:shd w:val="clear" w:color="auto" w:fill="auto"/>
                  <w:vAlign w:val="center"/>
                </w:tcPr>
                <w:p w:rsidR="00E93BA2" w:rsidRPr="00C30FA9"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76,148,844,803</w:t>
                  </w:r>
                </w:p>
              </w:tc>
            </w:tr>
            <w:tr w:rsidR="00E93BA2" w:rsidRPr="00301A9C" w:rsidTr="00A9167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9C571F" w:rsidRDefault="00E93BA2" w:rsidP="00E93BA2">
                  <w:pPr>
                    <w:jc w:val="center"/>
                    <w:rPr>
                      <w:rFonts w:ascii="Times New Roman" w:eastAsia="Times New Roman" w:hAnsi="Times New Roman" w:cs="Times New Roman"/>
                      <w:sz w:val="16"/>
                      <w:szCs w:val="16"/>
                    </w:rPr>
                  </w:pPr>
                  <w:r w:rsidRPr="009C571F">
                    <w:rPr>
                      <w:rFonts w:ascii="Times New Roman" w:eastAsia="Times New Roman" w:hAnsi="Times New Roman" w:cs="Times New Roman"/>
                      <w:sz w:val="16"/>
                      <w:szCs w:val="16"/>
                    </w:rPr>
                    <w:t>Min</w:t>
                  </w:r>
                </w:p>
              </w:tc>
              <w:tc>
                <w:tcPr>
                  <w:tcW w:w="1195" w:type="dxa"/>
                  <w:vAlign w:val="bottom"/>
                </w:tcPr>
                <w:p w:rsidR="00E93BA2" w:rsidRPr="00C65498"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65498">
                    <w:rPr>
                      <w:rFonts w:ascii="Times New Roman" w:hAnsi="Times New Roman" w:cs="Times New Roman"/>
                      <w:color w:val="000000"/>
                      <w:sz w:val="16"/>
                      <w:szCs w:val="16"/>
                    </w:rPr>
                    <w:t>2,794</w:t>
                  </w:r>
                </w:p>
              </w:tc>
              <w:tc>
                <w:tcPr>
                  <w:tcW w:w="1195" w:type="dxa"/>
                  <w:vAlign w:val="bottom"/>
                </w:tcPr>
                <w:p w:rsidR="00E93BA2" w:rsidRPr="00E36F05"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2,818</w:t>
                  </w:r>
                </w:p>
              </w:tc>
              <w:tc>
                <w:tcPr>
                  <w:tcW w:w="119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3,193</w:t>
                  </w:r>
                </w:p>
              </w:tc>
              <w:tc>
                <w:tcPr>
                  <w:tcW w:w="119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2,182</w:t>
                  </w:r>
                </w:p>
              </w:tc>
              <w:tc>
                <w:tcPr>
                  <w:tcW w:w="1195" w:type="dxa"/>
                  <w:shd w:val="clear" w:color="auto" w:fill="auto"/>
                  <w:vAlign w:val="center"/>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1,494</w:t>
                  </w:r>
                </w:p>
              </w:tc>
              <w:tc>
                <w:tcPr>
                  <w:tcW w:w="1705" w:type="dxa"/>
                  <w:shd w:val="clear" w:color="auto" w:fill="auto"/>
                  <w:vAlign w:val="center"/>
                </w:tcPr>
                <w:p w:rsidR="00E93BA2" w:rsidRPr="00A001FF"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A001FF">
                    <w:rPr>
                      <w:rFonts w:ascii="Times New Roman" w:hAnsi="Times New Roman" w:cs="Times New Roman"/>
                      <w:color w:val="000000"/>
                      <w:sz w:val="16"/>
                      <w:szCs w:val="16"/>
                    </w:rPr>
                    <w:t>1,201</w:t>
                  </w:r>
                </w:p>
              </w:tc>
              <w:tc>
                <w:tcPr>
                  <w:tcW w:w="1705" w:type="dxa"/>
                  <w:shd w:val="clear" w:color="auto" w:fill="auto"/>
                  <w:vAlign w:val="center"/>
                </w:tcPr>
                <w:p w:rsidR="00E93BA2" w:rsidRPr="00C9458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94582">
                    <w:rPr>
                      <w:rFonts w:ascii="Times New Roman" w:hAnsi="Times New Roman" w:cs="Times New Roman"/>
                      <w:color w:val="000000"/>
                      <w:sz w:val="16"/>
                      <w:szCs w:val="16"/>
                    </w:rPr>
                    <w:t>1,225</w:t>
                  </w:r>
                </w:p>
              </w:tc>
              <w:tc>
                <w:tcPr>
                  <w:tcW w:w="1705" w:type="dxa"/>
                  <w:shd w:val="clear" w:color="auto" w:fill="auto"/>
                  <w:vAlign w:val="center"/>
                </w:tcPr>
                <w:p w:rsidR="00E93BA2" w:rsidRPr="0055478F"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5478F">
                    <w:rPr>
                      <w:rFonts w:ascii="Times New Roman" w:hAnsi="Times New Roman" w:cs="Times New Roman"/>
                      <w:color w:val="000000"/>
                      <w:sz w:val="16"/>
                      <w:szCs w:val="16"/>
                    </w:rPr>
                    <w:t>1,145</w:t>
                  </w:r>
                </w:p>
              </w:tc>
              <w:tc>
                <w:tcPr>
                  <w:tcW w:w="1705" w:type="dxa"/>
                  <w:shd w:val="clear" w:color="auto" w:fill="auto"/>
                  <w:vAlign w:val="center"/>
                </w:tcPr>
                <w:p w:rsidR="00E93BA2" w:rsidRPr="00C30FA9"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1,145,356,610</w:t>
                  </w:r>
                </w:p>
              </w:tc>
            </w:tr>
            <w:tr w:rsidR="00E93BA2" w:rsidRPr="00301A9C" w:rsidTr="00A9167C">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9C571F" w:rsidRDefault="00E93BA2" w:rsidP="00E93BA2">
                  <w:pPr>
                    <w:jc w:val="center"/>
                    <w:rPr>
                      <w:rFonts w:ascii="Times New Roman" w:eastAsia="Times New Roman" w:hAnsi="Times New Roman" w:cs="Times New Roman"/>
                      <w:sz w:val="16"/>
                      <w:szCs w:val="16"/>
                    </w:rPr>
                  </w:pPr>
                  <w:r w:rsidRPr="009C571F">
                    <w:rPr>
                      <w:rFonts w:ascii="Times New Roman" w:eastAsia="Times New Roman" w:hAnsi="Times New Roman" w:cs="Times New Roman"/>
                      <w:sz w:val="16"/>
                      <w:szCs w:val="16"/>
                    </w:rPr>
                    <w:t>Median</w:t>
                  </w:r>
                </w:p>
              </w:tc>
              <w:tc>
                <w:tcPr>
                  <w:tcW w:w="1195" w:type="dxa"/>
                  <w:vAlign w:val="bottom"/>
                </w:tcPr>
                <w:p w:rsidR="00E93BA2" w:rsidRPr="00C65498"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65498">
                    <w:rPr>
                      <w:rFonts w:ascii="Times New Roman" w:hAnsi="Times New Roman" w:cs="Times New Roman"/>
                      <w:color w:val="000000"/>
                      <w:sz w:val="16"/>
                      <w:szCs w:val="16"/>
                    </w:rPr>
                    <w:t>19,219</w:t>
                  </w:r>
                </w:p>
              </w:tc>
              <w:tc>
                <w:tcPr>
                  <w:tcW w:w="1195" w:type="dxa"/>
                  <w:vAlign w:val="bottom"/>
                </w:tcPr>
                <w:p w:rsidR="00E93BA2" w:rsidRPr="00E36F05"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19,886</w:t>
                  </w:r>
                </w:p>
              </w:tc>
              <w:tc>
                <w:tcPr>
                  <w:tcW w:w="119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20,470</w:t>
                  </w:r>
                </w:p>
              </w:tc>
              <w:tc>
                <w:tcPr>
                  <w:tcW w:w="119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10,420</w:t>
                  </w:r>
                </w:p>
              </w:tc>
              <w:tc>
                <w:tcPr>
                  <w:tcW w:w="1195" w:type="dxa"/>
                  <w:shd w:val="clear" w:color="auto" w:fill="auto"/>
                  <w:vAlign w:val="center"/>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5,271</w:t>
                  </w:r>
                </w:p>
              </w:tc>
              <w:tc>
                <w:tcPr>
                  <w:tcW w:w="1705" w:type="dxa"/>
                  <w:shd w:val="clear" w:color="auto" w:fill="auto"/>
                  <w:vAlign w:val="center"/>
                </w:tcPr>
                <w:p w:rsidR="00E93BA2" w:rsidRPr="00A001FF"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01FF">
                    <w:rPr>
                      <w:rFonts w:ascii="Times New Roman" w:hAnsi="Times New Roman" w:cs="Times New Roman"/>
                      <w:color w:val="000000"/>
                      <w:sz w:val="16"/>
                      <w:szCs w:val="16"/>
                    </w:rPr>
                    <w:t>4,721</w:t>
                  </w:r>
                </w:p>
              </w:tc>
              <w:tc>
                <w:tcPr>
                  <w:tcW w:w="1705" w:type="dxa"/>
                  <w:shd w:val="clear" w:color="auto" w:fill="auto"/>
                  <w:vAlign w:val="center"/>
                </w:tcPr>
                <w:p w:rsidR="00E93BA2" w:rsidRPr="00C9458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94582">
                    <w:rPr>
                      <w:rFonts w:ascii="Times New Roman" w:hAnsi="Times New Roman" w:cs="Times New Roman"/>
                      <w:color w:val="000000"/>
                      <w:sz w:val="16"/>
                      <w:szCs w:val="16"/>
                    </w:rPr>
                    <w:t>4,513</w:t>
                  </w:r>
                </w:p>
              </w:tc>
              <w:tc>
                <w:tcPr>
                  <w:tcW w:w="1705" w:type="dxa"/>
                  <w:shd w:val="clear" w:color="auto" w:fill="auto"/>
                  <w:vAlign w:val="center"/>
                </w:tcPr>
                <w:p w:rsidR="00E93BA2" w:rsidRPr="0055478F"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5478F">
                    <w:rPr>
                      <w:rFonts w:ascii="Times New Roman" w:hAnsi="Times New Roman" w:cs="Times New Roman"/>
                      <w:color w:val="000000"/>
                      <w:sz w:val="16"/>
                      <w:szCs w:val="16"/>
                    </w:rPr>
                    <w:t>4,175</w:t>
                  </w:r>
                </w:p>
              </w:tc>
              <w:tc>
                <w:tcPr>
                  <w:tcW w:w="1705" w:type="dxa"/>
                  <w:shd w:val="clear" w:color="auto" w:fill="auto"/>
                  <w:vAlign w:val="center"/>
                </w:tcPr>
                <w:p w:rsidR="00E93BA2" w:rsidRPr="00C30FA9"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4,175,382,531</w:t>
                  </w:r>
                </w:p>
              </w:tc>
            </w:tr>
            <w:tr w:rsidR="00E93BA2" w:rsidRPr="00301A9C" w:rsidTr="00A9167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9C571F" w:rsidRDefault="00E93BA2" w:rsidP="00E93BA2">
                  <w:pPr>
                    <w:rPr>
                      <w:rFonts w:ascii="Times New Roman" w:eastAsia="Times New Roman" w:hAnsi="Times New Roman" w:cs="Times New Roman"/>
                      <w:sz w:val="16"/>
                      <w:szCs w:val="16"/>
                    </w:rPr>
                  </w:pPr>
                  <w:r w:rsidRPr="009C571F">
                    <w:rPr>
                      <w:rFonts w:ascii="Times New Roman" w:eastAsia="Times New Roman" w:hAnsi="Times New Roman" w:cs="Times New Roman"/>
                      <w:sz w:val="16"/>
                      <w:szCs w:val="16"/>
                    </w:rPr>
                    <w:t>Weighted capitalization of largest company</w:t>
                  </w:r>
                </w:p>
              </w:tc>
              <w:tc>
                <w:tcPr>
                  <w:tcW w:w="1195" w:type="dxa"/>
                  <w:vAlign w:val="bottom"/>
                </w:tcPr>
                <w:p w:rsidR="00E93BA2" w:rsidRPr="00C65498"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65498">
                    <w:rPr>
                      <w:rFonts w:ascii="Times New Roman" w:hAnsi="Times New Roman" w:cs="Times New Roman"/>
                      <w:color w:val="000000"/>
                      <w:sz w:val="16"/>
                      <w:szCs w:val="16"/>
                    </w:rPr>
                    <w:t>14.27%</w:t>
                  </w:r>
                </w:p>
              </w:tc>
              <w:tc>
                <w:tcPr>
                  <w:tcW w:w="1195" w:type="dxa"/>
                  <w:vAlign w:val="bottom"/>
                </w:tcPr>
                <w:p w:rsidR="00E93BA2" w:rsidRPr="00E36F05"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13.80%</w:t>
                  </w:r>
                </w:p>
              </w:tc>
              <w:tc>
                <w:tcPr>
                  <w:tcW w:w="119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14.79%</w:t>
                  </w:r>
                </w:p>
              </w:tc>
              <w:tc>
                <w:tcPr>
                  <w:tcW w:w="119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21.25%</w:t>
                  </w:r>
                </w:p>
              </w:tc>
              <w:tc>
                <w:tcPr>
                  <w:tcW w:w="1195" w:type="dxa"/>
                  <w:shd w:val="clear" w:color="auto" w:fill="auto"/>
                  <w:vAlign w:val="center"/>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28.00%</w:t>
                  </w:r>
                </w:p>
              </w:tc>
              <w:tc>
                <w:tcPr>
                  <w:tcW w:w="1705" w:type="dxa"/>
                  <w:shd w:val="clear" w:color="auto" w:fill="auto"/>
                  <w:vAlign w:val="center"/>
                </w:tcPr>
                <w:p w:rsidR="00E93BA2" w:rsidRPr="00A001FF"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A001FF">
                    <w:rPr>
                      <w:rFonts w:ascii="Times New Roman" w:hAnsi="Times New Roman" w:cs="Times New Roman"/>
                      <w:color w:val="000000"/>
                      <w:sz w:val="16"/>
                      <w:szCs w:val="16"/>
                    </w:rPr>
                    <w:t>29.86%</w:t>
                  </w:r>
                </w:p>
              </w:tc>
              <w:tc>
                <w:tcPr>
                  <w:tcW w:w="1705" w:type="dxa"/>
                  <w:shd w:val="clear" w:color="auto" w:fill="auto"/>
                  <w:vAlign w:val="center"/>
                </w:tcPr>
                <w:p w:rsidR="00E93BA2" w:rsidRPr="00C9458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94582">
                    <w:rPr>
                      <w:rFonts w:ascii="Times New Roman" w:hAnsi="Times New Roman" w:cs="Times New Roman"/>
                      <w:color w:val="000000"/>
                      <w:sz w:val="16"/>
                      <w:szCs w:val="16"/>
                    </w:rPr>
                    <w:t>26.50%</w:t>
                  </w:r>
                </w:p>
              </w:tc>
              <w:tc>
                <w:tcPr>
                  <w:tcW w:w="1705" w:type="dxa"/>
                  <w:shd w:val="clear" w:color="auto" w:fill="auto"/>
                  <w:vAlign w:val="center"/>
                </w:tcPr>
                <w:p w:rsidR="00E93BA2" w:rsidRPr="0055478F"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5478F">
                    <w:rPr>
                      <w:rFonts w:ascii="Times New Roman" w:hAnsi="Times New Roman" w:cs="Times New Roman"/>
                      <w:color w:val="000000"/>
                      <w:sz w:val="16"/>
                      <w:szCs w:val="16"/>
                    </w:rPr>
                    <w:t>26.02%</w:t>
                  </w:r>
                </w:p>
              </w:tc>
              <w:tc>
                <w:tcPr>
                  <w:tcW w:w="1705" w:type="dxa"/>
                  <w:shd w:val="clear" w:color="auto" w:fill="auto"/>
                  <w:vAlign w:val="center"/>
                </w:tcPr>
                <w:p w:rsidR="00E93BA2" w:rsidRPr="00C30FA9"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26.02%</w:t>
                  </w:r>
                </w:p>
              </w:tc>
            </w:tr>
            <w:tr w:rsidR="00E93BA2" w:rsidRPr="00301A9C" w:rsidTr="00A9167C">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9C571F" w:rsidRDefault="00E93BA2" w:rsidP="00E93BA2">
                  <w:pPr>
                    <w:rPr>
                      <w:rFonts w:ascii="Times New Roman" w:eastAsia="Times New Roman" w:hAnsi="Times New Roman" w:cs="Times New Roman"/>
                      <w:sz w:val="16"/>
                      <w:szCs w:val="16"/>
                    </w:rPr>
                  </w:pPr>
                  <w:r w:rsidRPr="009C571F">
                    <w:rPr>
                      <w:rFonts w:ascii="Times New Roman" w:eastAsia="Times New Roman" w:hAnsi="Times New Roman" w:cs="Times New Roman"/>
                      <w:sz w:val="16"/>
                      <w:szCs w:val="16"/>
                    </w:rPr>
                    <w:t>Weighted capitalization of top-10 companies</w:t>
                  </w:r>
                </w:p>
              </w:tc>
              <w:tc>
                <w:tcPr>
                  <w:tcW w:w="1195" w:type="dxa"/>
                  <w:vAlign w:val="bottom"/>
                </w:tcPr>
                <w:p w:rsidR="00E93BA2" w:rsidRPr="00C65498"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65498">
                    <w:rPr>
                      <w:rFonts w:ascii="Times New Roman" w:hAnsi="Times New Roman" w:cs="Times New Roman"/>
                      <w:color w:val="000000"/>
                      <w:sz w:val="16"/>
                      <w:szCs w:val="16"/>
                    </w:rPr>
                    <w:t>69.75%</w:t>
                  </w:r>
                </w:p>
              </w:tc>
              <w:tc>
                <w:tcPr>
                  <w:tcW w:w="1195" w:type="dxa"/>
                  <w:vAlign w:val="bottom"/>
                </w:tcPr>
                <w:p w:rsidR="00E93BA2" w:rsidRPr="00E36F05"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E36F05">
                    <w:rPr>
                      <w:rFonts w:ascii="Times New Roman" w:hAnsi="Times New Roman" w:cs="Times New Roman"/>
                      <w:color w:val="000000"/>
                      <w:sz w:val="16"/>
                      <w:szCs w:val="16"/>
                    </w:rPr>
                    <w:t>69.59%</w:t>
                  </w:r>
                </w:p>
              </w:tc>
              <w:tc>
                <w:tcPr>
                  <w:tcW w:w="119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70.17%</w:t>
                  </w:r>
                </w:p>
              </w:tc>
              <w:tc>
                <w:tcPr>
                  <w:tcW w:w="119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76.25%</w:t>
                  </w:r>
                </w:p>
              </w:tc>
              <w:tc>
                <w:tcPr>
                  <w:tcW w:w="1195" w:type="dxa"/>
                  <w:shd w:val="clear" w:color="auto" w:fill="auto"/>
                  <w:vAlign w:val="center"/>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74.62%</w:t>
                  </w:r>
                </w:p>
              </w:tc>
              <w:tc>
                <w:tcPr>
                  <w:tcW w:w="1705" w:type="dxa"/>
                  <w:shd w:val="clear" w:color="auto" w:fill="auto"/>
                  <w:vAlign w:val="center"/>
                </w:tcPr>
                <w:p w:rsidR="00E93BA2" w:rsidRPr="00A001FF"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001FF">
                    <w:rPr>
                      <w:rFonts w:ascii="Times New Roman" w:hAnsi="Times New Roman" w:cs="Times New Roman"/>
                      <w:color w:val="000000"/>
                      <w:sz w:val="16"/>
                      <w:szCs w:val="16"/>
                    </w:rPr>
                    <w:t>77.83%</w:t>
                  </w:r>
                </w:p>
              </w:tc>
              <w:tc>
                <w:tcPr>
                  <w:tcW w:w="1705" w:type="dxa"/>
                  <w:shd w:val="clear" w:color="auto" w:fill="auto"/>
                  <w:vAlign w:val="center"/>
                </w:tcPr>
                <w:p w:rsidR="00E93BA2" w:rsidRPr="00C9458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94582">
                    <w:rPr>
                      <w:rFonts w:ascii="Times New Roman" w:hAnsi="Times New Roman" w:cs="Times New Roman"/>
                      <w:color w:val="000000"/>
                      <w:sz w:val="16"/>
                      <w:szCs w:val="16"/>
                    </w:rPr>
                    <w:t>77.13%</w:t>
                  </w:r>
                </w:p>
              </w:tc>
              <w:tc>
                <w:tcPr>
                  <w:tcW w:w="1705" w:type="dxa"/>
                  <w:shd w:val="clear" w:color="auto" w:fill="auto"/>
                  <w:vAlign w:val="center"/>
                </w:tcPr>
                <w:p w:rsidR="00E93BA2" w:rsidRPr="0055478F"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5478F">
                    <w:rPr>
                      <w:rFonts w:ascii="Times New Roman" w:hAnsi="Times New Roman" w:cs="Times New Roman"/>
                      <w:color w:val="000000"/>
                      <w:sz w:val="16"/>
                      <w:szCs w:val="16"/>
                    </w:rPr>
                    <w:t>77.80%</w:t>
                  </w:r>
                </w:p>
              </w:tc>
              <w:tc>
                <w:tcPr>
                  <w:tcW w:w="1705" w:type="dxa"/>
                  <w:shd w:val="clear" w:color="auto" w:fill="auto"/>
                  <w:vAlign w:val="center"/>
                </w:tcPr>
                <w:p w:rsidR="00E93BA2" w:rsidRPr="00C30FA9"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77.80%</w:t>
                  </w:r>
                </w:p>
              </w:tc>
            </w:tr>
          </w:tbl>
          <w:p w:rsidR="00FA53D4" w:rsidRPr="00BC4093" w:rsidRDefault="00FA53D4" w:rsidP="005266FC">
            <w:pPr>
              <w:rPr>
                <w:rFonts w:ascii="Times New Roman" w:hAnsi="Times New Roman" w:cs="Times New Roman"/>
                <w:sz w:val="16"/>
                <w:szCs w:val="16"/>
              </w:rPr>
            </w:pPr>
          </w:p>
        </w:tc>
        <w:tc>
          <w:tcPr>
            <w:tcW w:w="5436" w:type="dxa"/>
            <w:gridSpan w:val="4"/>
          </w:tcPr>
          <w:p w:rsidR="00FA53D4" w:rsidRPr="00CE5502" w:rsidRDefault="00FA53D4" w:rsidP="005266FC">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Base Date: </w:t>
            </w:r>
            <w:r w:rsidRPr="00CE5502">
              <w:rPr>
                <w:rFonts w:ascii="Times New Roman" w:hAnsi="Times New Roman" w:cs="Times New Roman"/>
                <w:sz w:val="16"/>
                <w:szCs w:val="18"/>
              </w:rPr>
              <w:t>02/01/2009</w:t>
            </w:r>
          </w:p>
          <w:p w:rsidR="00FA53D4" w:rsidRPr="00CE5502" w:rsidRDefault="00FA53D4" w:rsidP="005266FC">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Base Value: </w:t>
            </w:r>
            <w:r>
              <w:rPr>
                <w:rFonts w:ascii="Times New Roman" w:hAnsi="Times New Roman" w:cs="Times New Roman"/>
                <w:sz w:val="16"/>
                <w:szCs w:val="18"/>
              </w:rPr>
              <w:t>313.</w:t>
            </w:r>
            <w:r w:rsidRPr="00CE5502">
              <w:rPr>
                <w:rFonts w:ascii="Times New Roman" w:hAnsi="Times New Roman" w:cs="Times New Roman"/>
                <w:sz w:val="16"/>
                <w:szCs w:val="18"/>
              </w:rPr>
              <w:t>34</w:t>
            </w:r>
          </w:p>
          <w:p w:rsidR="00FA53D4" w:rsidRPr="00CE5502" w:rsidRDefault="00FA53D4" w:rsidP="005266FC">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Availability: </w:t>
            </w:r>
            <w:r w:rsidRPr="00CE5502">
              <w:rPr>
                <w:rFonts w:ascii="Times New Roman" w:hAnsi="Times New Roman" w:cs="Times New Roman"/>
                <w:sz w:val="16"/>
                <w:szCs w:val="18"/>
              </w:rPr>
              <w:t>Price and Total Return</w:t>
            </w:r>
          </w:p>
          <w:p w:rsidR="00FA53D4" w:rsidRPr="00CE5502" w:rsidRDefault="00FA53D4" w:rsidP="005266FC">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Frequency: </w:t>
            </w:r>
          </w:p>
          <w:p w:rsidR="00FA53D4" w:rsidRPr="00CE5502" w:rsidRDefault="00FA53D4" w:rsidP="005266FC">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 VN30: </w:t>
            </w:r>
            <w:r w:rsidRPr="00CE5502">
              <w:rPr>
                <w:rFonts w:ascii="Times New Roman" w:hAnsi="Times New Roman" w:cs="Times New Roman"/>
                <w:sz w:val="16"/>
                <w:szCs w:val="18"/>
              </w:rPr>
              <w:t>Once per minute</w:t>
            </w:r>
            <w:r w:rsidRPr="00CE5502">
              <w:rPr>
                <w:rFonts w:ascii="Times New Roman" w:hAnsi="Times New Roman" w:cs="Times New Roman"/>
                <w:b/>
                <w:sz w:val="16"/>
                <w:szCs w:val="18"/>
              </w:rPr>
              <w:t>.</w:t>
            </w:r>
          </w:p>
          <w:p w:rsidR="00FA53D4" w:rsidRPr="00CE5502" w:rsidRDefault="00FA53D4" w:rsidP="005266FC">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 VN30TRI: </w:t>
            </w:r>
            <w:r w:rsidRPr="00CE5502">
              <w:rPr>
                <w:rFonts w:ascii="Times New Roman" w:hAnsi="Times New Roman" w:cs="Times New Roman"/>
                <w:sz w:val="16"/>
                <w:szCs w:val="18"/>
              </w:rPr>
              <w:t>End of day</w:t>
            </w:r>
            <w:r w:rsidRPr="00CE5502">
              <w:rPr>
                <w:rFonts w:ascii="Times New Roman" w:hAnsi="Times New Roman" w:cs="Times New Roman"/>
                <w:b/>
                <w:sz w:val="16"/>
                <w:szCs w:val="18"/>
              </w:rPr>
              <w:t>.</w:t>
            </w:r>
          </w:p>
          <w:p w:rsidR="00FA53D4" w:rsidRPr="00CE5502" w:rsidRDefault="00FA53D4" w:rsidP="005266FC">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Capping limit: </w:t>
            </w:r>
            <w:r w:rsidRPr="00CE5502">
              <w:rPr>
                <w:rFonts w:ascii="Times New Roman" w:hAnsi="Times New Roman" w:cs="Times New Roman"/>
                <w:sz w:val="16"/>
                <w:szCs w:val="18"/>
              </w:rPr>
              <w:t>10%</w:t>
            </w:r>
          </w:p>
          <w:p w:rsidR="00FA53D4" w:rsidRPr="00CE5502" w:rsidRDefault="00FA53D4" w:rsidP="005266FC">
            <w:pPr>
              <w:spacing w:line="276" w:lineRule="auto"/>
              <w:jc w:val="both"/>
              <w:rPr>
                <w:rFonts w:ascii="Times New Roman" w:hAnsi="Times New Roman" w:cs="Times New Roman"/>
                <w:sz w:val="16"/>
                <w:szCs w:val="18"/>
              </w:rPr>
            </w:pPr>
            <w:r w:rsidRPr="00CE5502">
              <w:rPr>
                <w:rFonts w:ascii="Times New Roman" w:hAnsi="Times New Roman" w:cs="Times New Roman"/>
                <w:b/>
                <w:sz w:val="16"/>
                <w:szCs w:val="18"/>
              </w:rPr>
              <w:t xml:space="preserve">Calculation Method: </w:t>
            </w:r>
            <w:r w:rsidRPr="00E771F9">
              <w:rPr>
                <w:rFonts w:ascii="Times New Roman" w:hAnsi="Times New Roman" w:cs="Times New Roman"/>
                <w:sz w:val="16"/>
                <w:szCs w:val="16"/>
              </w:rPr>
              <w:t>Free-float adjusted market-capitalization weighted index.</w:t>
            </w:r>
          </w:p>
          <w:p w:rsidR="00FA53D4" w:rsidRPr="004E1251" w:rsidRDefault="00FA53D4" w:rsidP="005266FC">
            <w:pPr>
              <w:spacing w:line="276" w:lineRule="auto"/>
              <w:jc w:val="both"/>
              <w:rPr>
                <w:rFonts w:ascii="Times New Roman" w:hAnsi="Times New Roman" w:cs="Times New Roman"/>
                <w:sz w:val="16"/>
                <w:szCs w:val="18"/>
              </w:rPr>
            </w:pPr>
            <w:r w:rsidRPr="00CE5502">
              <w:rPr>
                <w:rFonts w:ascii="Times New Roman" w:hAnsi="Times New Roman" w:cs="Times New Roman"/>
                <w:b/>
                <w:sz w:val="16"/>
                <w:szCs w:val="18"/>
              </w:rPr>
              <w:t xml:space="preserve">Currency: </w:t>
            </w:r>
            <w:r w:rsidRPr="00CE5502">
              <w:rPr>
                <w:rFonts w:ascii="Times New Roman" w:hAnsi="Times New Roman" w:cs="Times New Roman"/>
                <w:sz w:val="16"/>
                <w:szCs w:val="18"/>
              </w:rPr>
              <w:t>VND</w:t>
            </w:r>
          </w:p>
        </w:tc>
      </w:tr>
      <w:tr w:rsidR="00FA53D4" w:rsidRPr="006D2F55" w:rsidTr="00501B6F">
        <w:tblPrEx>
          <w:tblCellMar>
            <w:left w:w="108" w:type="dxa"/>
            <w:right w:w="108" w:type="dxa"/>
          </w:tblCellMar>
        </w:tblPrEx>
        <w:trPr>
          <w:gridAfter w:val="1"/>
          <w:wAfter w:w="49" w:type="dxa"/>
          <w:trHeight w:hRule="exact" w:val="302"/>
          <w:jc w:val="center"/>
        </w:trPr>
        <w:tc>
          <w:tcPr>
            <w:tcW w:w="5776" w:type="dxa"/>
            <w:gridSpan w:val="4"/>
            <w:vMerge w:val="restart"/>
          </w:tcPr>
          <w:p w:rsidR="00FA53D4" w:rsidRDefault="0074250D" w:rsidP="005266FC">
            <w:pPr>
              <w:rPr>
                <w:rFonts w:eastAsia="Times New Roman" w:cs="Times New Roman"/>
                <w:sz w:val="16"/>
                <w:szCs w:val="16"/>
              </w:rPr>
            </w:pPr>
            <w:r>
              <w:rPr>
                <w:rFonts w:eastAsia="Times New Roman" w:cs="Times New Roman"/>
                <w:noProof/>
                <w:sz w:val="16"/>
                <w:szCs w:val="16"/>
              </w:rPr>
              <w:drawing>
                <wp:inline distT="0" distB="0" distL="0" distR="0" wp14:anchorId="26B4D5AA">
                  <wp:extent cx="3688715" cy="1542415"/>
                  <wp:effectExtent l="0" t="0" r="698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8715" cy="1542415"/>
                          </a:xfrm>
                          <a:prstGeom prst="rect">
                            <a:avLst/>
                          </a:prstGeom>
                          <a:noFill/>
                        </pic:spPr>
                      </pic:pic>
                    </a:graphicData>
                  </a:graphic>
                </wp:inline>
              </w:drawing>
            </w:r>
            <w:r w:rsidR="00F5321A">
              <w:rPr>
                <w:noProof/>
              </w:rPr>
              <w:drawing>
                <wp:inline distT="0" distB="0" distL="0" distR="0" wp14:anchorId="792FA9CF" wp14:editId="34926070">
                  <wp:extent cx="3687488" cy="1541766"/>
                  <wp:effectExtent l="0" t="0" r="8255" b="1905"/>
                  <wp:docPr id="29" name="Chart 29">
                    <a:extLst xmlns:a="http://schemas.openxmlformats.org/drawingml/2006/main">
                      <a:ext uri="{FF2B5EF4-FFF2-40B4-BE49-F238E27FC236}">
                        <a16:creationId xmlns:a16="http://schemas.microsoft.com/office/drawing/2014/main" id="{00000000-0008-0000-01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436" w:type="dxa"/>
            <w:gridSpan w:val="4"/>
            <w:shd w:val="clear" w:color="auto" w:fill="0070C0"/>
            <w:vAlign w:val="center"/>
          </w:tcPr>
          <w:p w:rsidR="00FA53D4" w:rsidRPr="00CE5502" w:rsidRDefault="00FA53D4" w:rsidP="005266FC">
            <w:pPr>
              <w:rPr>
                <w:rFonts w:ascii="Times New Roman" w:hAnsi="Times New Roman" w:cs="Times New Roman"/>
                <w:b/>
                <w:sz w:val="16"/>
                <w:szCs w:val="18"/>
              </w:rPr>
            </w:pPr>
            <w:r w:rsidRPr="006D2F55">
              <w:rPr>
                <w:rFonts w:ascii="Times New Roman" w:hAnsi="Times New Roman" w:cs="Times New Roman"/>
                <w:b/>
                <w:color w:val="FFFFFF" w:themeColor="background1"/>
              </w:rPr>
              <w:t>Ind</w:t>
            </w:r>
            <w:r>
              <w:rPr>
                <w:rFonts w:ascii="Times New Roman" w:hAnsi="Times New Roman" w:cs="Times New Roman"/>
                <w:b/>
                <w:color w:val="FFFFFF" w:themeColor="background1"/>
              </w:rPr>
              <w:t>ex</w:t>
            </w:r>
            <w:r w:rsidRPr="006D2F55">
              <w:rPr>
                <w:rFonts w:ascii="Times New Roman" w:hAnsi="Times New Roman" w:cs="Times New Roman"/>
                <w:b/>
                <w:color w:val="FFFFFF" w:themeColor="background1"/>
              </w:rPr>
              <w:t xml:space="preserve"> Volatility</w:t>
            </w:r>
          </w:p>
        </w:tc>
      </w:tr>
      <w:tr w:rsidR="00FA53D4" w:rsidRPr="006D2F55" w:rsidTr="00474BB6">
        <w:trPr>
          <w:gridAfter w:val="1"/>
          <w:wAfter w:w="49" w:type="dxa"/>
          <w:trHeight w:hRule="exact" w:val="1010"/>
          <w:jc w:val="center"/>
        </w:trPr>
        <w:tc>
          <w:tcPr>
            <w:tcW w:w="5776" w:type="dxa"/>
            <w:gridSpan w:val="4"/>
            <w:vMerge/>
          </w:tcPr>
          <w:p w:rsidR="00FA53D4" w:rsidRDefault="00FA53D4" w:rsidP="005266FC">
            <w:pPr>
              <w:rPr>
                <w:rFonts w:eastAsia="Times New Roman" w:cs="Times New Roman"/>
                <w:sz w:val="16"/>
                <w:szCs w:val="16"/>
              </w:rPr>
            </w:pPr>
          </w:p>
        </w:tc>
        <w:tc>
          <w:tcPr>
            <w:tcW w:w="5436" w:type="dxa"/>
            <w:gridSpan w:val="4"/>
            <w:vAlign w:val="center"/>
          </w:tcPr>
          <w:tbl>
            <w:tblPr>
              <w:tblW w:w="5274"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879"/>
              <w:gridCol w:w="879"/>
              <w:gridCol w:w="879"/>
              <w:gridCol w:w="879"/>
              <w:gridCol w:w="879"/>
              <w:gridCol w:w="879"/>
            </w:tblGrid>
            <w:tr w:rsidR="00FA53D4" w:rsidRPr="00C84839" w:rsidTr="005266FC">
              <w:trPr>
                <w:trHeight w:val="283"/>
              </w:trPr>
              <w:tc>
                <w:tcPr>
                  <w:tcW w:w="879" w:type="dxa"/>
                  <w:tcBorders>
                    <w:right w:val="single" w:sz="4" w:space="0" w:color="0070C0"/>
                  </w:tcBorders>
                  <w:shd w:val="clear" w:color="auto" w:fill="auto"/>
                  <w:noWrap/>
                  <w:vAlign w:val="center"/>
                  <w:hideMark/>
                </w:tcPr>
                <w:p w:rsidR="00FA53D4" w:rsidRPr="004260EC" w:rsidRDefault="00FA53D4" w:rsidP="005266FC">
                  <w:pPr>
                    <w:spacing w:after="0" w:line="240" w:lineRule="auto"/>
                    <w:jc w:val="center"/>
                    <w:rPr>
                      <w:rFonts w:ascii="Times New Roman" w:eastAsia="Times New Roman" w:hAnsi="Times New Roman" w:cs="Times New Roman"/>
                      <w:sz w:val="14"/>
                      <w:szCs w:val="14"/>
                    </w:rPr>
                  </w:pPr>
                </w:p>
              </w:tc>
              <w:tc>
                <w:tcPr>
                  <w:tcW w:w="879" w:type="dxa"/>
                  <w:tcBorders>
                    <w:left w:val="single" w:sz="4" w:space="0" w:color="0070C0"/>
                  </w:tcBorders>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months</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6 months</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1 year</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years</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5 years</w:t>
                  </w:r>
                </w:p>
              </w:tc>
            </w:tr>
            <w:tr w:rsidR="00E93BA2" w:rsidRPr="00C84839" w:rsidTr="005266FC">
              <w:trPr>
                <w:trHeight w:val="283"/>
              </w:trPr>
              <w:tc>
                <w:tcPr>
                  <w:tcW w:w="879" w:type="dxa"/>
                  <w:tcBorders>
                    <w:right w:val="single" w:sz="4" w:space="0" w:color="0070C0"/>
                  </w:tcBorders>
                  <w:shd w:val="clear" w:color="auto" w:fill="auto"/>
                  <w:noWrap/>
                  <w:vAlign w:val="center"/>
                  <w:hideMark/>
                </w:tcPr>
                <w:p w:rsidR="00E93BA2" w:rsidRPr="004260EC" w:rsidRDefault="00E93BA2" w:rsidP="00E93BA2">
                  <w:pPr>
                    <w:spacing w:after="0" w:line="240" w:lineRule="auto"/>
                    <w:jc w:val="center"/>
                    <w:rPr>
                      <w:rFonts w:ascii="Times New Roman" w:eastAsia="Times New Roman" w:hAnsi="Times New Roman" w:cs="Times New Roman"/>
                      <w:b/>
                      <w:bCs/>
                      <w:color w:val="000000"/>
                      <w:sz w:val="14"/>
                      <w:szCs w:val="14"/>
                    </w:rPr>
                  </w:pPr>
                  <w:r w:rsidRPr="004260EC">
                    <w:rPr>
                      <w:rFonts w:ascii="Times New Roman" w:eastAsia="Times New Roman" w:hAnsi="Times New Roman" w:cs="Times New Roman"/>
                      <w:b/>
                      <w:bCs/>
                      <w:color w:val="000000"/>
                      <w:sz w:val="14"/>
                      <w:szCs w:val="14"/>
                    </w:rPr>
                    <w:t>VN30</w:t>
                  </w:r>
                </w:p>
              </w:tc>
              <w:tc>
                <w:tcPr>
                  <w:tcW w:w="879" w:type="dxa"/>
                  <w:tcBorders>
                    <w:left w:val="single" w:sz="4" w:space="0" w:color="0070C0"/>
                  </w:tcBorders>
                  <w:shd w:val="clear" w:color="auto" w:fill="auto"/>
                  <w:noWrap/>
                  <w:vAlign w:val="center"/>
                  <w:hideMark/>
                </w:tcPr>
                <w:p w:rsidR="00E93BA2" w:rsidRPr="00C65498"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6.31%</w:t>
                  </w:r>
                </w:p>
              </w:tc>
              <w:tc>
                <w:tcPr>
                  <w:tcW w:w="879" w:type="dxa"/>
                  <w:shd w:val="clear" w:color="auto" w:fill="auto"/>
                  <w:noWrap/>
                  <w:vAlign w:val="center"/>
                  <w:hideMark/>
                </w:tcPr>
                <w:p w:rsidR="00E93BA2" w:rsidRPr="00C65498"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9.36%</w:t>
                  </w:r>
                </w:p>
              </w:tc>
              <w:tc>
                <w:tcPr>
                  <w:tcW w:w="879" w:type="dxa"/>
                  <w:shd w:val="clear" w:color="auto" w:fill="auto"/>
                  <w:noWrap/>
                  <w:vAlign w:val="center"/>
                  <w:hideMark/>
                </w:tcPr>
                <w:p w:rsidR="00E93BA2" w:rsidRPr="00C65498"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17.50%</w:t>
                  </w:r>
                </w:p>
              </w:tc>
              <w:tc>
                <w:tcPr>
                  <w:tcW w:w="879" w:type="dxa"/>
                  <w:shd w:val="clear" w:color="auto" w:fill="auto"/>
                  <w:noWrap/>
                  <w:vAlign w:val="center"/>
                  <w:hideMark/>
                </w:tcPr>
                <w:p w:rsidR="00E93BA2" w:rsidRPr="00C65498"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28.74%</w:t>
                  </w:r>
                </w:p>
              </w:tc>
              <w:tc>
                <w:tcPr>
                  <w:tcW w:w="879" w:type="dxa"/>
                  <w:shd w:val="clear" w:color="auto" w:fill="auto"/>
                  <w:noWrap/>
                  <w:vAlign w:val="center"/>
                  <w:hideMark/>
                </w:tcPr>
                <w:p w:rsidR="00E93BA2" w:rsidRPr="00C65498"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35.92%</w:t>
                  </w:r>
                </w:p>
              </w:tc>
            </w:tr>
          </w:tbl>
          <w:p w:rsidR="00FA53D4" w:rsidRPr="00CE5502" w:rsidRDefault="00FA53D4" w:rsidP="005266FC">
            <w:pPr>
              <w:jc w:val="center"/>
              <w:rPr>
                <w:rFonts w:ascii="Times New Roman" w:hAnsi="Times New Roman" w:cs="Times New Roman"/>
                <w:b/>
                <w:sz w:val="16"/>
                <w:szCs w:val="18"/>
              </w:rPr>
            </w:pPr>
          </w:p>
        </w:tc>
      </w:tr>
      <w:tr w:rsidR="00FA53D4" w:rsidRPr="006D2F55" w:rsidTr="00474BB6">
        <w:trPr>
          <w:gridAfter w:val="1"/>
          <w:wAfter w:w="49" w:type="dxa"/>
          <w:trHeight w:hRule="exact" w:val="302"/>
          <w:jc w:val="center"/>
        </w:trPr>
        <w:tc>
          <w:tcPr>
            <w:tcW w:w="5776" w:type="dxa"/>
            <w:gridSpan w:val="4"/>
            <w:vMerge/>
          </w:tcPr>
          <w:p w:rsidR="00FA53D4" w:rsidRDefault="00FA53D4" w:rsidP="005266FC">
            <w:pPr>
              <w:rPr>
                <w:rFonts w:eastAsia="Times New Roman" w:cs="Times New Roman"/>
                <w:sz w:val="16"/>
                <w:szCs w:val="16"/>
              </w:rPr>
            </w:pPr>
          </w:p>
        </w:tc>
        <w:tc>
          <w:tcPr>
            <w:tcW w:w="5436" w:type="dxa"/>
            <w:gridSpan w:val="4"/>
            <w:shd w:val="clear" w:color="auto" w:fill="0070C0"/>
            <w:vAlign w:val="center"/>
          </w:tcPr>
          <w:p w:rsidR="00FA53D4" w:rsidRPr="00CE5502" w:rsidRDefault="00FA53D4" w:rsidP="005266FC">
            <w:pPr>
              <w:rPr>
                <w:rFonts w:ascii="Times New Roman" w:hAnsi="Times New Roman" w:cs="Times New Roman"/>
                <w:b/>
                <w:sz w:val="16"/>
                <w:szCs w:val="18"/>
              </w:rPr>
            </w:pPr>
            <w:r w:rsidRPr="006D2F55">
              <w:rPr>
                <w:rFonts w:ascii="Times New Roman" w:hAnsi="Times New Roman" w:cs="Times New Roman"/>
                <w:b/>
                <w:color w:val="FFFFFF" w:themeColor="background1"/>
              </w:rPr>
              <w:t xml:space="preserve">Correlation </w:t>
            </w:r>
            <w:r>
              <w:rPr>
                <w:rFonts w:ascii="Times New Roman" w:hAnsi="Times New Roman" w:cs="Times New Roman"/>
                <w:b/>
                <w:color w:val="FFFFFF" w:themeColor="background1"/>
              </w:rPr>
              <w:t>with VN Index</w:t>
            </w:r>
          </w:p>
        </w:tc>
      </w:tr>
      <w:tr w:rsidR="00FA53D4" w:rsidRPr="006D2F55" w:rsidTr="00474BB6">
        <w:trPr>
          <w:gridAfter w:val="1"/>
          <w:wAfter w:w="49" w:type="dxa"/>
          <w:trHeight w:hRule="exact" w:val="875"/>
          <w:jc w:val="center"/>
        </w:trPr>
        <w:tc>
          <w:tcPr>
            <w:tcW w:w="5776" w:type="dxa"/>
            <w:gridSpan w:val="4"/>
            <w:vMerge/>
          </w:tcPr>
          <w:p w:rsidR="00FA53D4" w:rsidRDefault="00FA53D4" w:rsidP="005266FC">
            <w:pPr>
              <w:rPr>
                <w:rFonts w:eastAsia="Times New Roman" w:cs="Times New Roman"/>
                <w:sz w:val="16"/>
                <w:szCs w:val="16"/>
              </w:rPr>
            </w:pPr>
          </w:p>
        </w:tc>
        <w:tc>
          <w:tcPr>
            <w:tcW w:w="5436" w:type="dxa"/>
            <w:gridSpan w:val="4"/>
            <w:vAlign w:val="center"/>
          </w:tcPr>
          <w:tbl>
            <w:tblPr>
              <w:tblW w:w="5274" w:type="dxa"/>
              <w:tblInd w:w="1"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879"/>
              <w:gridCol w:w="879"/>
              <w:gridCol w:w="879"/>
              <w:gridCol w:w="879"/>
              <w:gridCol w:w="879"/>
              <w:gridCol w:w="879"/>
            </w:tblGrid>
            <w:tr w:rsidR="00FA53D4" w:rsidRPr="00C84839" w:rsidTr="005266FC">
              <w:trPr>
                <w:trHeight w:val="283"/>
              </w:trPr>
              <w:tc>
                <w:tcPr>
                  <w:tcW w:w="879" w:type="dxa"/>
                  <w:tcBorders>
                    <w:right w:val="single" w:sz="4" w:space="0" w:color="0070C0"/>
                  </w:tcBorders>
                  <w:shd w:val="clear" w:color="auto" w:fill="auto"/>
                  <w:noWrap/>
                  <w:vAlign w:val="center"/>
                  <w:hideMark/>
                </w:tcPr>
                <w:p w:rsidR="00FA53D4" w:rsidRPr="004260EC" w:rsidRDefault="00FA53D4" w:rsidP="005266FC">
                  <w:pPr>
                    <w:spacing w:after="0" w:line="240" w:lineRule="auto"/>
                    <w:jc w:val="center"/>
                    <w:rPr>
                      <w:rFonts w:ascii="Times New Roman" w:eastAsia="Times New Roman" w:hAnsi="Times New Roman" w:cs="Times New Roman"/>
                      <w:sz w:val="14"/>
                      <w:szCs w:val="14"/>
                    </w:rPr>
                  </w:pPr>
                </w:p>
              </w:tc>
              <w:tc>
                <w:tcPr>
                  <w:tcW w:w="879" w:type="dxa"/>
                  <w:tcBorders>
                    <w:left w:val="single" w:sz="4" w:space="0" w:color="0070C0"/>
                  </w:tcBorders>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months</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6 months</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1 year</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years</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5 years</w:t>
                  </w:r>
                </w:p>
              </w:tc>
            </w:tr>
            <w:tr w:rsidR="00E93BA2" w:rsidRPr="00C84839" w:rsidTr="005266FC">
              <w:trPr>
                <w:trHeight w:val="283"/>
              </w:trPr>
              <w:tc>
                <w:tcPr>
                  <w:tcW w:w="879" w:type="dxa"/>
                  <w:tcBorders>
                    <w:right w:val="single" w:sz="4" w:space="0" w:color="0070C0"/>
                  </w:tcBorders>
                  <w:shd w:val="clear" w:color="auto" w:fill="auto"/>
                  <w:noWrap/>
                  <w:vAlign w:val="center"/>
                  <w:hideMark/>
                </w:tcPr>
                <w:p w:rsidR="00E93BA2" w:rsidRPr="004260EC" w:rsidRDefault="00E93BA2" w:rsidP="00E93BA2">
                  <w:pPr>
                    <w:spacing w:after="0" w:line="240" w:lineRule="auto"/>
                    <w:jc w:val="center"/>
                    <w:rPr>
                      <w:rFonts w:ascii="Times New Roman" w:eastAsia="Times New Roman" w:hAnsi="Times New Roman" w:cs="Times New Roman"/>
                      <w:b/>
                      <w:bCs/>
                      <w:color w:val="000000"/>
                      <w:sz w:val="14"/>
                      <w:szCs w:val="14"/>
                    </w:rPr>
                  </w:pPr>
                  <w:r w:rsidRPr="004260EC">
                    <w:rPr>
                      <w:rFonts w:ascii="Times New Roman" w:eastAsia="Times New Roman" w:hAnsi="Times New Roman" w:cs="Times New Roman"/>
                      <w:b/>
                      <w:bCs/>
                      <w:color w:val="000000"/>
                      <w:sz w:val="14"/>
                      <w:szCs w:val="14"/>
                    </w:rPr>
                    <w:t>VN30</w:t>
                  </w:r>
                </w:p>
              </w:tc>
              <w:tc>
                <w:tcPr>
                  <w:tcW w:w="879" w:type="dxa"/>
                  <w:tcBorders>
                    <w:left w:val="single" w:sz="4" w:space="0" w:color="0070C0"/>
                  </w:tcBorders>
                  <w:shd w:val="clear" w:color="auto" w:fill="auto"/>
                  <w:noWrap/>
                  <w:vAlign w:val="center"/>
                  <w:hideMark/>
                </w:tcPr>
                <w:p w:rsidR="00E93BA2" w:rsidRPr="00C65498"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95.65%</w:t>
                  </w:r>
                </w:p>
              </w:tc>
              <w:tc>
                <w:tcPr>
                  <w:tcW w:w="879" w:type="dxa"/>
                  <w:shd w:val="clear" w:color="auto" w:fill="auto"/>
                  <w:noWrap/>
                  <w:vAlign w:val="center"/>
                  <w:hideMark/>
                </w:tcPr>
                <w:p w:rsidR="00E93BA2" w:rsidRPr="00C65498"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95.34%</w:t>
                  </w:r>
                </w:p>
              </w:tc>
              <w:tc>
                <w:tcPr>
                  <w:tcW w:w="879" w:type="dxa"/>
                  <w:shd w:val="clear" w:color="auto" w:fill="auto"/>
                  <w:noWrap/>
                  <w:vAlign w:val="center"/>
                  <w:hideMark/>
                </w:tcPr>
                <w:p w:rsidR="00E93BA2" w:rsidRPr="00C65498"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96.84%</w:t>
                  </w:r>
                </w:p>
              </w:tc>
              <w:tc>
                <w:tcPr>
                  <w:tcW w:w="879" w:type="dxa"/>
                  <w:shd w:val="clear" w:color="auto" w:fill="auto"/>
                  <w:noWrap/>
                  <w:vAlign w:val="center"/>
                  <w:hideMark/>
                </w:tcPr>
                <w:p w:rsidR="00E93BA2" w:rsidRPr="00C65498"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95.55%</w:t>
                  </w:r>
                </w:p>
              </w:tc>
              <w:tc>
                <w:tcPr>
                  <w:tcW w:w="879" w:type="dxa"/>
                  <w:shd w:val="clear" w:color="auto" w:fill="auto"/>
                  <w:noWrap/>
                  <w:vAlign w:val="center"/>
                  <w:hideMark/>
                </w:tcPr>
                <w:p w:rsidR="00E93BA2" w:rsidRPr="00C65498"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65498">
                    <w:rPr>
                      <w:rFonts w:ascii="Times New Roman" w:hAnsi="Times New Roman" w:cs="Times New Roman"/>
                      <w:color w:val="000000"/>
                      <w:sz w:val="14"/>
                      <w:szCs w:val="14"/>
                    </w:rPr>
                    <w:t>94.41%</w:t>
                  </w:r>
                </w:p>
              </w:tc>
            </w:tr>
          </w:tbl>
          <w:p w:rsidR="00FA53D4" w:rsidRPr="00CE5502" w:rsidRDefault="00FA53D4" w:rsidP="005266FC">
            <w:pPr>
              <w:jc w:val="center"/>
              <w:rPr>
                <w:rFonts w:ascii="Times New Roman" w:hAnsi="Times New Roman" w:cs="Times New Roman"/>
                <w:b/>
                <w:sz w:val="16"/>
                <w:szCs w:val="18"/>
              </w:rPr>
            </w:pPr>
          </w:p>
        </w:tc>
      </w:tr>
      <w:tr w:rsidR="00FA53D4" w:rsidRPr="006D2F55" w:rsidTr="00474BB6">
        <w:tblPrEx>
          <w:tblCellMar>
            <w:left w:w="108" w:type="dxa"/>
            <w:right w:w="108" w:type="dxa"/>
          </w:tblCellMar>
        </w:tblPrEx>
        <w:trPr>
          <w:gridAfter w:val="1"/>
          <w:wAfter w:w="49" w:type="dxa"/>
          <w:trHeight w:hRule="exact" w:val="298"/>
          <w:jc w:val="center"/>
        </w:trPr>
        <w:tc>
          <w:tcPr>
            <w:tcW w:w="5575" w:type="dxa"/>
            <w:gridSpan w:val="2"/>
            <w:shd w:val="clear" w:color="auto" w:fill="0070C0"/>
            <w:vAlign w:val="center"/>
          </w:tcPr>
          <w:p w:rsidR="00FA53D4" w:rsidRPr="00C84839" w:rsidRDefault="00FA53D4" w:rsidP="005266FC">
            <w:pPr>
              <w:tabs>
                <w:tab w:val="center" w:pos="2700"/>
                <w:tab w:val="left" w:pos="4236"/>
              </w:tabs>
              <w:rPr>
                <w:rFonts w:ascii="Times New Roman" w:hAnsi="Times New Roman" w:cs="Times New Roman"/>
                <w:b/>
                <w:color w:val="FFFFFF" w:themeColor="background1"/>
              </w:rPr>
            </w:pPr>
            <w:r w:rsidRPr="00C84839">
              <w:rPr>
                <w:rFonts w:ascii="Times New Roman" w:hAnsi="Times New Roman" w:cs="Times New Roman"/>
                <w:b/>
                <w:color w:val="FFFFFF" w:themeColor="background1"/>
              </w:rPr>
              <w:t>Ind</w:t>
            </w:r>
            <w:r>
              <w:rPr>
                <w:rFonts w:ascii="Times New Roman" w:hAnsi="Times New Roman" w:cs="Times New Roman"/>
                <w:b/>
                <w:color w:val="FFFFFF" w:themeColor="background1"/>
              </w:rPr>
              <w:t>ex</w:t>
            </w:r>
            <w:r w:rsidRPr="00C84839">
              <w:rPr>
                <w:rFonts w:ascii="Times New Roman" w:hAnsi="Times New Roman" w:cs="Times New Roman"/>
                <w:b/>
                <w:color w:val="FFFFFF" w:themeColor="background1"/>
              </w:rPr>
              <w:t xml:space="preserve"> Performance</w:t>
            </w:r>
          </w:p>
        </w:tc>
        <w:tc>
          <w:tcPr>
            <w:tcW w:w="5637" w:type="dxa"/>
            <w:gridSpan w:val="6"/>
            <w:vAlign w:val="center"/>
          </w:tcPr>
          <w:p w:rsidR="00FA53D4" w:rsidRPr="006D2F55" w:rsidRDefault="00FA53D4" w:rsidP="005266FC">
            <w:pPr>
              <w:tabs>
                <w:tab w:val="center" w:pos="2700"/>
                <w:tab w:val="left" w:pos="4236"/>
              </w:tabs>
              <w:rPr>
                <w:rFonts w:ascii="Times New Roman" w:hAnsi="Times New Roman" w:cs="Times New Roman"/>
              </w:rPr>
            </w:pPr>
          </w:p>
        </w:tc>
      </w:tr>
      <w:tr w:rsidR="00FA53D4" w:rsidRPr="006D2F55" w:rsidTr="00474BB6">
        <w:tblPrEx>
          <w:tblCellMar>
            <w:left w:w="108" w:type="dxa"/>
            <w:right w:w="108" w:type="dxa"/>
          </w:tblCellMar>
        </w:tblPrEx>
        <w:trPr>
          <w:gridAfter w:val="1"/>
          <w:wAfter w:w="49" w:type="dxa"/>
          <w:trHeight w:hRule="exact" w:val="1099"/>
          <w:jc w:val="center"/>
        </w:trPr>
        <w:tc>
          <w:tcPr>
            <w:tcW w:w="11212" w:type="dxa"/>
            <w:gridSpan w:val="8"/>
            <w:vAlign w:val="center"/>
          </w:tcPr>
          <w:tbl>
            <w:tblPr>
              <w:tblW w:w="10616" w:type="dxa"/>
              <w:jc w:val="center"/>
              <w:tblBorders>
                <w:top w:val="single" w:sz="12" w:space="0" w:color="0070C0"/>
                <w:bottom w:val="single" w:sz="12" w:space="0" w:color="0070C0"/>
                <w:insideH w:val="single" w:sz="12" w:space="0" w:color="0070C0"/>
              </w:tblBorders>
              <w:tblLayout w:type="fixed"/>
              <w:tblLook w:val="04A0" w:firstRow="1" w:lastRow="0" w:firstColumn="1" w:lastColumn="0" w:noHBand="0" w:noVBand="1"/>
            </w:tblPr>
            <w:tblGrid>
              <w:gridCol w:w="1139"/>
              <w:gridCol w:w="769"/>
              <w:gridCol w:w="686"/>
              <w:gridCol w:w="709"/>
              <w:gridCol w:w="839"/>
              <w:gridCol w:w="928"/>
              <w:gridCol w:w="928"/>
              <w:gridCol w:w="696"/>
              <w:gridCol w:w="766"/>
              <w:gridCol w:w="771"/>
              <w:gridCol w:w="1236"/>
              <w:gridCol w:w="1149"/>
            </w:tblGrid>
            <w:tr w:rsidR="00FA53D4" w:rsidRPr="00252690" w:rsidTr="005266FC">
              <w:trPr>
                <w:trHeight w:val="268"/>
                <w:jc w:val="center"/>
              </w:trPr>
              <w:tc>
                <w:tcPr>
                  <w:tcW w:w="536" w:type="pct"/>
                  <w:tcBorders>
                    <w:right w:val="single" w:sz="12" w:space="0" w:color="0070C0"/>
                  </w:tcBorders>
                  <w:vAlign w:val="center"/>
                </w:tcPr>
                <w:p w:rsidR="00FA53D4" w:rsidRPr="00C572C8" w:rsidRDefault="00FA53D4" w:rsidP="005266FC">
                  <w:pPr>
                    <w:spacing w:after="0" w:line="240" w:lineRule="auto"/>
                    <w:jc w:val="center"/>
                    <w:rPr>
                      <w:rFonts w:ascii="Times New Roman" w:eastAsia="Times New Roman" w:hAnsi="Times New Roman" w:cs="Times New Roman"/>
                      <w:sz w:val="16"/>
                      <w:szCs w:val="16"/>
                    </w:rPr>
                  </w:pPr>
                </w:p>
              </w:tc>
              <w:tc>
                <w:tcPr>
                  <w:tcW w:w="3340" w:type="pct"/>
                  <w:gridSpan w:val="9"/>
                  <w:tcBorders>
                    <w:left w:val="single" w:sz="12" w:space="0" w:color="0070C0"/>
                    <w:right w:val="single" w:sz="12" w:space="0" w:color="0070C0"/>
                  </w:tcBorders>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sz w:val="14"/>
                      <w:szCs w:val="14"/>
                    </w:rPr>
                  </w:pPr>
                  <w:r w:rsidRPr="00F26A05">
                    <w:rPr>
                      <w:rFonts w:ascii="Times New Roman" w:eastAsia="Times New Roman" w:hAnsi="Times New Roman" w:cs="Times New Roman"/>
                      <w:b/>
                      <w:bCs/>
                      <w:sz w:val="14"/>
                      <w:szCs w:val="14"/>
                    </w:rPr>
                    <w:t>Performance (%)</w:t>
                  </w:r>
                </w:p>
              </w:tc>
              <w:tc>
                <w:tcPr>
                  <w:tcW w:w="1123" w:type="pct"/>
                  <w:gridSpan w:val="2"/>
                  <w:tcBorders>
                    <w:left w:val="single" w:sz="12" w:space="0" w:color="0070C0"/>
                  </w:tcBorders>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sz w:val="14"/>
                      <w:szCs w:val="14"/>
                    </w:rPr>
                  </w:pPr>
                  <w:r w:rsidRPr="00F26A05">
                    <w:rPr>
                      <w:rFonts w:ascii="Times New Roman" w:eastAsia="Times New Roman" w:hAnsi="Times New Roman" w:cs="Times New Roman"/>
                      <w:b/>
                      <w:bCs/>
                      <w:sz w:val="14"/>
                      <w:szCs w:val="14"/>
                    </w:rPr>
                    <w:t>Annualized Performance (%)</w:t>
                  </w:r>
                </w:p>
              </w:tc>
            </w:tr>
            <w:tr w:rsidR="00FA53D4" w:rsidRPr="00252690" w:rsidTr="005266FC">
              <w:trPr>
                <w:trHeight w:val="255"/>
                <w:jc w:val="center"/>
              </w:trPr>
              <w:tc>
                <w:tcPr>
                  <w:tcW w:w="536" w:type="pct"/>
                  <w:tcBorders>
                    <w:right w:val="single" w:sz="12" w:space="0" w:color="0070C0"/>
                  </w:tcBorders>
                  <w:vAlign w:val="center"/>
                </w:tcPr>
                <w:p w:rsidR="00FA53D4" w:rsidRPr="001404C8" w:rsidRDefault="00FA53D4" w:rsidP="005266FC">
                  <w:pPr>
                    <w:spacing w:after="0" w:line="240" w:lineRule="auto"/>
                    <w:jc w:val="center"/>
                    <w:rPr>
                      <w:rFonts w:ascii="Times New Roman" w:eastAsia="Times New Roman" w:hAnsi="Times New Roman" w:cs="Times New Roman"/>
                      <w:b/>
                      <w:bCs/>
                      <w:color w:val="000000"/>
                      <w:sz w:val="14"/>
                      <w:szCs w:val="14"/>
                    </w:rPr>
                  </w:pPr>
                </w:p>
              </w:tc>
              <w:tc>
                <w:tcPr>
                  <w:tcW w:w="362" w:type="pct"/>
                  <w:tcBorders>
                    <w:left w:val="single" w:sz="12" w:space="0" w:color="0070C0"/>
                  </w:tcBorders>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Pr>
                      <w:rFonts w:ascii="Times New Roman" w:eastAsia="Times New Roman" w:hAnsi="Times New Roman" w:cs="Times New Roman"/>
                      <w:b/>
                      <w:bCs/>
                      <w:sz w:val="14"/>
                      <w:szCs w:val="14"/>
                    </w:rPr>
                    <w:t>6</w:t>
                  </w:r>
                </w:p>
              </w:tc>
              <w:tc>
                <w:tcPr>
                  <w:tcW w:w="323" w:type="pct"/>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Pr>
                      <w:rFonts w:ascii="Times New Roman" w:eastAsia="Times New Roman" w:hAnsi="Times New Roman" w:cs="Times New Roman"/>
                      <w:b/>
                      <w:bCs/>
                      <w:sz w:val="14"/>
                      <w:szCs w:val="14"/>
                    </w:rPr>
                    <w:t>7</w:t>
                  </w:r>
                </w:p>
              </w:tc>
              <w:tc>
                <w:tcPr>
                  <w:tcW w:w="334" w:type="pct"/>
                  <w:tcBorders>
                    <w:right w:val="single" w:sz="12" w:space="0" w:color="0070C0"/>
                  </w:tcBorders>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Pr>
                      <w:rFonts w:ascii="Times New Roman" w:eastAsia="Times New Roman" w:hAnsi="Times New Roman" w:cs="Times New Roman"/>
                      <w:b/>
                      <w:bCs/>
                      <w:sz w:val="14"/>
                      <w:szCs w:val="14"/>
                    </w:rPr>
                    <w:t>8</w:t>
                  </w:r>
                </w:p>
              </w:tc>
              <w:tc>
                <w:tcPr>
                  <w:tcW w:w="395" w:type="pct"/>
                  <w:tcBorders>
                    <w:left w:val="single" w:sz="12" w:space="0" w:color="0070C0"/>
                  </w:tcBorders>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Pr>
                      <w:rFonts w:ascii="Times New Roman" w:eastAsia="Times New Roman" w:hAnsi="Times New Roman" w:cs="Times New Roman"/>
                      <w:b/>
                      <w:bCs/>
                      <w:color w:val="000000"/>
                      <w:sz w:val="14"/>
                      <w:szCs w:val="16"/>
                    </w:rPr>
                    <w:t>1</w:t>
                  </w:r>
                  <w:r w:rsidRPr="0048469C">
                    <w:rPr>
                      <w:rFonts w:ascii="Times New Roman" w:eastAsia="Times New Roman" w:hAnsi="Times New Roman" w:cs="Times New Roman"/>
                      <w:b/>
                      <w:bCs/>
                      <w:color w:val="000000"/>
                      <w:sz w:val="14"/>
                      <w:szCs w:val="16"/>
                    </w:rPr>
                    <w:t xml:space="preserve"> month</w:t>
                  </w:r>
                </w:p>
              </w:tc>
              <w:tc>
                <w:tcPr>
                  <w:tcW w:w="437" w:type="pct"/>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months</w:t>
                  </w:r>
                </w:p>
              </w:tc>
              <w:tc>
                <w:tcPr>
                  <w:tcW w:w="437" w:type="pct"/>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6 months</w:t>
                  </w:r>
                </w:p>
              </w:tc>
              <w:tc>
                <w:tcPr>
                  <w:tcW w:w="328" w:type="pct"/>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1 year</w:t>
                  </w:r>
                </w:p>
              </w:tc>
              <w:tc>
                <w:tcPr>
                  <w:tcW w:w="361" w:type="pct"/>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years</w:t>
                  </w:r>
                </w:p>
              </w:tc>
              <w:tc>
                <w:tcPr>
                  <w:tcW w:w="363" w:type="pct"/>
                  <w:tcBorders>
                    <w:right w:val="single" w:sz="12" w:space="0" w:color="0070C0"/>
                  </w:tcBorders>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5 years</w:t>
                  </w:r>
                </w:p>
              </w:tc>
              <w:tc>
                <w:tcPr>
                  <w:tcW w:w="582" w:type="pct"/>
                  <w:tcBorders>
                    <w:left w:val="single" w:sz="12" w:space="0" w:color="0070C0"/>
                  </w:tcBorders>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years</w:t>
                  </w:r>
                </w:p>
              </w:tc>
              <w:tc>
                <w:tcPr>
                  <w:tcW w:w="541" w:type="pct"/>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5 years</w:t>
                  </w:r>
                </w:p>
              </w:tc>
            </w:tr>
            <w:tr w:rsidR="00E93BA2" w:rsidRPr="00252690" w:rsidTr="005266FC">
              <w:trPr>
                <w:trHeight w:val="274"/>
                <w:jc w:val="center"/>
              </w:trPr>
              <w:tc>
                <w:tcPr>
                  <w:tcW w:w="536" w:type="pct"/>
                  <w:tcBorders>
                    <w:right w:val="single" w:sz="12" w:space="0" w:color="0070C0"/>
                  </w:tcBorders>
                  <w:vAlign w:val="center"/>
                </w:tcPr>
                <w:p w:rsidR="00E93BA2" w:rsidRPr="001404C8" w:rsidRDefault="00E93BA2" w:rsidP="00E93BA2">
                  <w:pPr>
                    <w:spacing w:after="0" w:line="240" w:lineRule="auto"/>
                    <w:jc w:val="center"/>
                    <w:rPr>
                      <w:rFonts w:ascii="Times New Roman" w:eastAsia="Times New Roman" w:hAnsi="Times New Roman" w:cs="Times New Roman"/>
                      <w:b/>
                      <w:bCs/>
                      <w:color w:val="000000"/>
                      <w:sz w:val="14"/>
                      <w:szCs w:val="14"/>
                    </w:rPr>
                  </w:pPr>
                  <w:r w:rsidRPr="00763C82">
                    <w:rPr>
                      <w:rFonts w:ascii="Times New Roman" w:eastAsia="Times New Roman" w:hAnsi="Times New Roman" w:cs="Times New Roman"/>
                      <w:b/>
                      <w:bCs/>
                      <w:color w:val="000000"/>
                      <w:sz w:val="14"/>
                      <w:szCs w:val="14"/>
                    </w:rPr>
                    <w:t>VN30</w:t>
                  </w:r>
                </w:p>
              </w:tc>
              <w:tc>
                <w:tcPr>
                  <w:tcW w:w="362" w:type="pct"/>
                  <w:tcBorders>
                    <w:left w:val="single" w:sz="12" w:space="0" w:color="0070C0"/>
                  </w:tcBorders>
                  <w:shd w:val="clear" w:color="auto" w:fill="auto"/>
                  <w:noWrap/>
                  <w:vAlign w:val="center"/>
                  <w:hideMark/>
                </w:tcPr>
                <w:p w:rsidR="00E93BA2" w:rsidRPr="00E36F0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5.48%</w:t>
                  </w:r>
                </w:p>
              </w:tc>
              <w:tc>
                <w:tcPr>
                  <w:tcW w:w="323" w:type="pct"/>
                  <w:shd w:val="clear" w:color="auto" w:fill="auto"/>
                  <w:noWrap/>
                  <w:vAlign w:val="center"/>
                  <w:hideMark/>
                </w:tcPr>
                <w:p w:rsidR="00E93BA2" w:rsidRPr="00E36F0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53.89%</w:t>
                  </w:r>
                </w:p>
              </w:tc>
              <w:tc>
                <w:tcPr>
                  <w:tcW w:w="334" w:type="pct"/>
                  <w:tcBorders>
                    <w:right w:val="single" w:sz="12" w:space="0" w:color="0070C0"/>
                  </w:tcBorders>
                  <w:shd w:val="clear" w:color="auto" w:fill="auto"/>
                  <w:noWrap/>
                  <w:vAlign w:val="center"/>
                  <w:hideMark/>
                </w:tcPr>
                <w:p w:rsidR="00E93BA2" w:rsidRPr="00E36F0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E36F05">
                    <w:rPr>
                      <w:rFonts w:ascii="Times New Roman" w:hAnsi="Times New Roman" w:cs="Times New Roman"/>
                      <w:color w:val="000000"/>
                      <w:sz w:val="14"/>
                      <w:szCs w:val="14"/>
                    </w:rPr>
                    <w:t>-12.36%</w:t>
                  </w:r>
                </w:p>
              </w:tc>
              <w:tc>
                <w:tcPr>
                  <w:tcW w:w="395" w:type="pct"/>
                  <w:tcBorders>
                    <w:left w:val="single" w:sz="12" w:space="0" w:color="0070C0"/>
                  </w:tcBorders>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-1.60%</w:t>
                  </w:r>
                </w:p>
              </w:tc>
              <w:tc>
                <w:tcPr>
                  <w:tcW w:w="437" w:type="pct"/>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-3.17%</w:t>
                  </w:r>
                </w:p>
              </w:tc>
              <w:tc>
                <w:tcPr>
                  <w:tcW w:w="437" w:type="pct"/>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-2.07%</w:t>
                  </w:r>
                </w:p>
              </w:tc>
              <w:tc>
                <w:tcPr>
                  <w:tcW w:w="328" w:type="pct"/>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-7.50%</w:t>
                  </w:r>
                </w:p>
              </w:tc>
              <w:tc>
                <w:tcPr>
                  <w:tcW w:w="361" w:type="pct"/>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41.90%</w:t>
                  </w:r>
                </w:p>
              </w:tc>
              <w:tc>
                <w:tcPr>
                  <w:tcW w:w="363" w:type="pct"/>
                  <w:tcBorders>
                    <w:right w:val="single" w:sz="12" w:space="0" w:color="0070C0"/>
                  </w:tcBorders>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41.79%</w:t>
                  </w:r>
                </w:p>
              </w:tc>
              <w:tc>
                <w:tcPr>
                  <w:tcW w:w="582" w:type="pct"/>
                  <w:tcBorders>
                    <w:left w:val="single" w:sz="12" w:space="0" w:color="0070C0"/>
                  </w:tcBorders>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12.37%</w:t>
                  </w:r>
                </w:p>
              </w:tc>
              <w:tc>
                <w:tcPr>
                  <w:tcW w:w="541" w:type="pct"/>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7.23%</w:t>
                  </w:r>
                </w:p>
              </w:tc>
            </w:tr>
          </w:tbl>
          <w:p w:rsidR="00FA53D4" w:rsidRPr="006D2F55" w:rsidRDefault="00FA53D4" w:rsidP="005266FC">
            <w:pPr>
              <w:jc w:val="center"/>
              <w:rPr>
                <w:rFonts w:ascii="Arial" w:eastAsia="Times New Roman" w:hAnsi="Arial" w:cs="Arial"/>
                <w:color w:val="000000"/>
                <w:sz w:val="24"/>
                <w:szCs w:val="24"/>
              </w:rPr>
            </w:pPr>
          </w:p>
        </w:tc>
      </w:tr>
      <w:tr w:rsidR="00FA53D4" w:rsidRPr="006D2F55" w:rsidTr="00474BB6">
        <w:tblPrEx>
          <w:tblCellMar>
            <w:left w:w="108" w:type="dxa"/>
            <w:right w:w="108" w:type="dxa"/>
          </w:tblCellMar>
        </w:tblPrEx>
        <w:trPr>
          <w:gridAfter w:val="1"/>
          <w:wAfter w:w="49" w:type="dxa"/>
          <w:trHeight w:val="298"/>
          <w:jc w:val="center"/>
        </w:trPr>
        <w:tc>
          <w:tcPr>
            <w:tcW w:w="5575" w:type="dxa"/>
            <w:gridSpan w:val="2"/>
            <w:shd w:val="clear" w:color="auto" w:fill="0070C0"/>
            <w:vAlign w:val="center"/>
          </w:tcPr>
          <w:p w:rsidR="00FA53D4" w:rsidRPr="006D2F55" w:rsidRDefault="00FA53D4" w:rsidP="005266FC">
            <w:pPr>
              <w:rPr>
                <w:rFonts w:ascii="Times New Roman" w:eastAsia="Times New Roman" w:hAnsi="Times New Roman" w:cs="Times New Roman"/>
              </w:rPr>
            </w:pPr>
            <w:r>
              <w:rPr>
                <w:rFonts w:ascii="Times New Roman" w:hAnsi="Times New Roman" w:cs="Times New Roman"/>
                <w:b/>
                <w:color w:val="FFFFFF" w:themeColor="background1"/>
              </w:rPr>
              <w:t>Sector Breakdown</w:t>
            </w:r>
          </w:p>
        </w:tc>
        <w:tc>
          <w:tcPr>
            <w:tcW w:w="5637" w:type="dxa"/>
            <w:gridSpan w:val="6"/>
            <w:shd w:val="clear" w:color="auto" w:fill="0070C0"/>
            <w:vAlign w:val="center"/>
          </w:tcPr>
          <w:p w:rsidR="00FA53D4" w:rsidRPr="006D2F55" w:rsidRDefault="00FA53D4" w:rsidP="005266FC">
            <w:pPr>
              <w:rPr>
                <w:rFonts w:ascii="Times New Roman" w:eastAsia="Times New Roman" w:hAnsi="Times New Roman" w:cs="Times New Roman"/>
              </w:rPr>
            </w:pPr>
            <w:r w:rsidRPr="0006583E">
              <w:rPr>
                <w:rFonts w:ascii="Times New Roman" w:eastAsia="Times New Roman" w:hAnsi="Times New Roman" w:cs="Times New Roman"/>
                <w:b/>
                <w:color w:val="FFFFFF" w:themeColor="background1"/>
                <w:szCs w:val="12"/>
              </w:rPr>
              <w:t>Top-10 Constituents of Market Capitalization</w:t>
            </w:r>
          </w:p>
        </w:tc>
      </w:tr>
      <w:tr w:rsidR="00FA53D4" w:rsidRPr="006D2F55" w:rsidTr="00006CAA">
        <w:tblPrEx>
          <w:tblCellMar>
            <w:left w:w="108" w:type="dxa"/>
            <w:right w:w="108" w:type="dxa"/>
          </w:tblCellMar>
        </w:tblPrEx>
        <w:trPr>
          <w:gridAfter w:val="1"/>
          <w:wAfter w:w="49" w:type="dxa"/>
          <w:trHeight w:hRule="exact" w:val="4303"/>
          <w:jc w:val="center"/>
        </w:trPr>
        <w:tc>
          <w:tcPr>
            <w:tcW w:w="5575" w:type="dxa"/>
            <w:gridSpan w:val="2"/>
          </w:tcPr>
          <w:p w:rsidR="00FA53D4" w:rsidRPr="006D2F55" w:rsidRDefault="001D5280" w:rsidP="005266FC">
            <w:pPr>
              <w:jc w:val="center"/>
              <w:rPr>
                <w:rFonts w:ascii="Arial" w:eastAsia="Times New Roman" w:hAnsi="Arial" w:cs="Arial"/>
              </w:rPr>
            </w:pPr>
            <w:r>
              <w:rPr>
                <w:rFonts w:ascii="Arial" w:eastAsia="Times New Roman" w:hAnsi="Arial" w:cs="Arial"/>
                <w:noProof/>
              </w:rPr>
              <w:drawing>
                <wp:inline distT="0" distB="0" distL="0" distR="0" wp14:anchorId="73602682">
                  <wp:extent cx="3469005" cy="26212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9005" cy="2621280"/>
                          </a:xfrm>
                          <a:prstGeom prst="rect">
                            <a:avLst/>
                          </a:prstGeom>
                          <a:noFill/>
                        </pic:spPr>
                      </pic:pic>
                    </a:graphicData>
                  </a:graphic>
                </wp:inline>
              </w:drawing>
            </w:r>
            <w:r w:rsidR="00006CAA">
              <w:rPr>
                <w:noProof/>
              </w:rPr>
              <w:drawing>
                <wp:inline distT="0" distB="0" distL="0" distR="0" wp14:anchorId="105BED68" wp14:editId="7956569C">
                  <wp:extent cx="3402965" cy="2567940"/>
                  <wp:effectExtent l="0" t="0" r="6985" b="3810"/>
                  <wp:docPr id="8" name="Chart 8">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637" w:type="dxa"/>
            <w:gridSpan w:val="6"/>
            <w:vMerge w:val="restart"/>
          </w:tcPr>
          <w:tbl>
            <w:tblPr>
              <w:tblpPr w:leftFromText="180" w:rightFromText="180" w:vertAnchor="page" w:horzAnchor="margin" w:tblpXSpec="center" w:tblpY="128"/>
              <w:tblOverlap w:val="never"/>
              <w:tblW w:w="4925"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434"/>
              <w:gridCol w:w="700"/>
              <w:gridCol w:w="1411"/>
              <w:gridCol w:w="1649"/>
              <w:gridCol w:w="731"/>
            </w:tblGrid>
            <w:tr w:rsidR="00FA53D4" w:rsidRPr="00BB4F59" w:rsidTr="005266FC">
              <w:trPr>
                <w:trHeight w:val="343"/>
              </w:trPr>
              <w:tc>
                <w:tcPr>
                  <w:tcW w:w="434" w:type="dxa"/>
                  <w:shd w:val="clear" w:color="auto" w:fill="auto"/>
                  <w:noWrap/>
                  <w:vAlign w:val="center"/>
                  <w:hideMark/>
                </w:tcPr>
                <w:p w:rsidR="00FA53D4" w:rsidRPr="002F4991" w:rsidRDefault="00FA53D4" w:rsidP="005266FC">
                  <w:pPr>
                    <w:spacing w:after="0" w:line="240" w:lineRule="auto"/>
                    <w:jc w:val="center"/>
                    <w:rPr>
                      <w:rFonts w:ascii="Times New Roman" w:eastAsia="Times New Roman" w:hAnsi="Times New Roman" w:cs="Times New Roman"/>
                      <w:b/>
                      <w:bCs/>
                      <w:color w:val="000000"/>
                      <w:sz w:val="14"/>
                      <w:szCs w:val="14"/>
                    </w:rPr>
                  </w:pPr>
                </w:p>
              </w:tc>
              <w:tc>
                <w:tcPr>
                  <w:tcW w:w="700" w:type="dxa"/>
                  <w:shd w:val="clear" w:color="auto" w:fill="auto"/>
                  <w:noWrap/>
                  <w:vAlign w:val="center"/>
                  <w:hideMark/>
                </w:tcPr>
                <w:p w:rsidR="00FA53D4" w:rsidRPr="007F1789" w:rsidRDefault="00FA53D4" w:rsidP="005266FC">
                  <w:pPr>
                    <w:spacing w:after="0" w:line="240" w:lineRule="auto"/>
                    <w:ind w:right="-53"/>
                    <w:jc w:val="center"/>
                    <w:rPr>
                      <w:rFonts w:ascii="Times New Roman" w:eastAsia="Times New Roman" w:hAnsi="Times New Roman" w:cs="Times New Roman"/>
                      <w:b/>
                      <w:bCs/>
                      <w:color w:val="000000"/>
                      <w:sz w:val="14"/>
                      <w:szCs w:val="14"/>
                    </w:rPr>
                  </w:pPr>
                  <w:r w:rsidRPr="007F1789">
                    <w:rPr>
                      <w:rFonts w:ascii="Times New Roman" w:eastAsia="Times New Roman" w:hAnsi="Times New Roman" w:cs="Times New Roman"/>
                      <w:b/>
                      <w:bCs/>
                      <w:color w:val="000000"/>
                      <w:sz w:val="14"/>
                      <w:szCs w:val="14"/>
                    </w:rPr>
                    <w:t>Stock</w:t>
                  </w:r>
                </w:p>
              </w:tc>
              <w:tc>
                <w:tcPr>
                  <w:tcW w:w="1411" w:type="dxa"/>
                  <w:shd w:val="clear" w:color="auto" w:fill="auto"/>
                  <w:noWrap/>
                  <w:vAlign w:val="center"/>
                  <w:hideMark/>
                </w:tcPr>
                <w:p w:rsidR="00FA53D4" w:rsidRPr="007F1789" w:rsidRDefault="00FA53D4" w:rsidP="005266FC">
                  <w:pPr>
                    <w:spacing w:after="0" w:line="240" w:lineRule="auto"/>
                    <w:jc w:val="center"/>
                    <w:rPr>
                      <w:rFonts w:ascii="Times New Roman" w:eastAsia="Times New Roman" w:hAnsi="Times New Roman" w:cs="Times New Roman"/>
                      <w:b/>
                      <w:bCs/>
                      <w:color w:val="000000"/>
                      <w:sz w:val="14"/>
                      <w:szCs w:val="14"/>
                    </w:rPr>
                  </w:pPr>
                  <w:r w:rsidRPr="007F1789">
                    <w:rPr>
                      <w:rFonts w:ascii="Times New Roman" w:eastAsia="Times New Roman" w:hAnsi="Times New Roman" w:cs="Times New Roman"/>
                      <w:b/>
                      <w:bCs/>
                      <w:color w:val="000000"/>
                      <w:sz w:val="14"/>
                      <w:szCs w:val="14"/>
                    </w:rPr>
                    <w:t>Sector</w:t>
                  </w:r>
                </w:p>
              </w:tc>
              <w:tc>
                <w:tcPr>
                  <w:tcW w:w="1649" w:type="dxa"/>
                  <w:shd w:val="clear" w:color="auto" w:fill="auto"/>
                  <w:noWrap/>
                  <w:vAlign w:val="center"/>
                  <w:hideMark/>
                </w:tcPr>
                <w:p w:rsidR="00FA53D4" w:rsidRPr="007F1789" w:rsidRDefault="00FA53D4" w:rsidP="005266FC">
                  <w:pPr>
                    <w:spacing w:after="0" w:line="240" w:lineRule="auto"/>
                    <w:jc w:val="center"/>
                    <w:rPr>
                      <w:rFonts w:ascii="Times New Roman" w:eastAsia="Times New Roman" w:hAnsi="Times New Roman" w:cs="Times New Roman"/>
                      <w:b/>
                      <w:bCs/>
                      <w:color w:val="000000"/>
                      <w:sz w:val="14"/>
                      <w:szCs w:val="14"/>
                    </w:rPr>
                  </w:pPr>
                  <w:r>
                    <w:rPr>
                      <w:rFonts w:ascii="Times New Roman" w:eastAsia="Times New Roman" w:hAnsi="Times New Roman" w:cs="Times New Roman"/>
                      <w:b/>
                      <w:bCs/>
                      <w:color w:val="000000"/>
                      <w:sz w:val="14"/>
                      <w:szCs w:val="14"/>
                    </w:rPr>
                    <w:t>Free-</w:t>
                  </w:r>
                  <w:r w:rsidRPr="007F1789">
                    <w:rPr>
                      <w:rFonts w:ascii="Times New Roman" w:eastAsia="Times New Roman" w:hAnsi="Times New Roman" w:cs="Times New Roman"/>
                      <w:b/>
                      <w:bCs/>
                      <w:color w:val="000000"/>
                      <w:sz w:val="14"/>
                      <w:szCs w:val="14"/>
                    </w:rPr>
                    <w:t>float adjusted market-cap (</w:t>
                  </w:r>
                  <w:r>
                    <w:rPr>
                      <w:rFonts w:ascii="Times New Roman" w:eastAsia="Times New Roman" w:hAnsi="Times New Roman" w:cs="Times New Roman"/>
                      <w:b/>
                      <w:bCs/>
                      <w:color w:val="000000"/>
                      <w:sz w:val="14"/>
                      <w:szCs w:val="14"/>
                    </w:rPr>
                    <w:t>Billion VND</w:t>
                  </w:r>
                  <w:r w:rsidRPr="007F1789">
                    <w:rPr>
                      <w:rFonts w:ascii="Times New Roman" w:eastAsia="Times New Roman" w:hAnsi="Times New Roman" w:cs="Times New Roman"/>
                      <w:b/>
                      <w:bCs/>
                      <w:color w:val="000000"/>
                      <w:sz w:val="14"/>
                      <w:szCs w:val="14"/>
                    </w:rPr>
                    <w:t>)</w:t>
                  </w:r>
                </w:p>
              </w:tc>
              <w:tc>
                <w:tcPr>
                  <w:tcW w:w="731" w:type="dxa"/>
                  <w:shd w:val="clear" w:color="auto" w:fill="auto"/>
                  <w:noWrap/>
                  <w:vAlign w:val="center"/>
                  <w:hideMark/>
                </w:tcPr>
                <w:p w:rsidR="00FA53D4" w:rsidRPr="007F1789" w:rsidRDefault="00FA53D4" w:rsidP="005266FC">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Weight</w:t>
                  </w:r>
                </w:p>
                <w:p w:rsidR="00FA53D4" w:rsidRPr="007F1789" w:rsidRDefault="00FA53D4" w:rsidP="005266FC">
                  <w:pPr>
                    <w:spacing w:after="0" w:line="240" w:lineRule="auto"/>
                    <w:jc w:val="center"/>
                    <w:rPr>
                      <w:rFonts w:ascii="Times New Roman" w:eastAsia="Times New Roman" w:hAnsi="Times New Roman" w:cs="Times New Roman"/>
                      <w:b/>
                      <w:bCs/>
                      <w:color w:val="000000"/>
                      <w:sz w:val="14"/>
                      <w:szCs w:val="14"/>
                    </w:rPr>
                  </w:pPr>
                  <w:r w:rsidRPr="007F1789">
                    <w:rPr>
                      <w:rFonts w:ascii="Times New Roman" w:eastAsia="Times New Roman" w:hAnsi="Times New Roman" w:cs="Times New Roman"/>
                      <w:b/>
                      <w:sz w:val="14"/>
                      <w:szCs w:val="14"/>
                    </w:rPr>
                    <w:t>(%)</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1</w:t>
                  </w:r>
                </w:p>
              </w:tc>
              <w:tc>
                <w:tcPr>
                  <w:tcW w:w="700"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VNM</w:t>
                  </w:r>
                </w:p>
              </w:tc>
              <w:tc>
                <w:tcPr>
                  <w:tcW w:w="1411"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Consumer Staples </w:t>
                  </w:r>
                </w:p>
              </w:tc>
              <w:tc>
                <w:tcPr>
                  <w:tcW w:w="1649"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112,756</w:t>
                  </w:r>
                </w:p>
              </w:tc>
              <w:tc>
                <w:tcPr>
                  <w:tcW w:w="731"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14.27%</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2</w:t>
                  </w:r>
                </w:p>
              </w:tc>
              <w:tc>
                <w:tcPr>
                  <w:tcW w:w="700"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VIC</w:t>
                  </w:r>
                </w:p>
              </w:tc>
              <w:tc>
                <w:tcPr>
                  <w:tcW w:w="1411"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Real Estate </w:t>
                  </w:r>
                </w:p>
              </w:tc>
              <w:tc>
                <w:tcPr>
                  <w:tcW w:w="1649"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109,728</w:t>
                  </w:r>
                </w:p>
              </w:tc>
              <w:tc>
                <w:tcPr>
                  <w:tcW w:w="731"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13.88%</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3</w:t>
                  </w:r>
                </w:p>
              </w:tc>
              <w:tc>
                <w:tcPr>
                  <w:tcW w:w="700"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VHM</w:t>
                  </w:r>
                </w:p>
              </w:tc>
              <w:tc>
                <w:tcPr>
                  <w:tcW w:w="1411"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Real Estate </w:t>
                  </w:r>
                </w:p>
              </w:tc>
              <w:tc>
                <w:tcPr>
                  <w:tcW w:w="1649"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68,665</w:t>
                  </w:r>
                </w:p>
              </w:tc>
              <w:tc>
                <w:tcPr>
                  <w:tcW w:w="731"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8.69%</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4</w:t>
                  </w:r>
                </w:p>
              </w:tc>
              <w:tc>
                <w:tcPr>
                  <w:tcW w:w="700"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TCB</w:t>
                  </w:r>
                </w:p>
              </w:tc>
              <w:tc>
                <w:tcPr>
                  <w:tcW w:w="1411"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Financials </w:t>
                  </w:r>
                </w:p>
              </w:tc>
              <w:tc>
                <w:tcPr>
                  <w:tcW w:w="1649"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51,365</w:t>
                  </w:r>
                </w:p>
              </w:tc>
              <w:tc>
                <w:tcPr>
                  <w:tcW w:w="731"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6.50%</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5</w:t>
                  </w:r>
                </w:p>
              </w:tc>
              <w:tc>
                <w:tcPr>
                  <w:tcW w:w="700"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HPG</w:t>
                  </w:r>
                </w:p>
              </w:tc>
              <w:tc>
                <w:tcPr>
                  <w:tcW w:w="1411"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Materials </w:t>
                  </w:r>
                </w:p>
              </w:tc>
              <w:tc>
                <w:tcPr>
                  <w:tcW w:w="1649"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40,906</w:t>
                  </w:r>
                </w:p>
              </w:tc>
              <w:tc>
                <w:tcPr>
                  <w:tcW w:w="731"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5.18%</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6</w:t>
                  </w:r>
                </w:p>
              </w:tc>
              <w:tc>
                <w:tcPr>
                  <w:tcW w:w="700"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MSN</w:t>
                  </w:r>
                </w:p>
              </w:tc>
              <w:tc>
                <w:tcPr>
                  <w:tcW w:w="1411"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Consumer Staples </w:t>
                  </w:r>
                </w:p>
              </w:tc>
              <w:tc>
                <w:tcPr>
                  <w:tcW w:w="1649"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39,919</w:t>
                  </w:r>
                </w:p>
              </w:tc>
              <w:tc>
                <w:tcPr>
                  <w:tcW w:w="731"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5.05%</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7</w:t>
                  </w:r>
                </w:p>
              </w:tc>
              <w:tc>
                <w:tcPr>
                  <w:tcW w:w="700"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VRE</w:t>
                  </w:r>
                </w:p>
              </w:tc>
              <w:tc>
                <w:tcPr>
                  <w:tcW w:w="1411"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Real Estate </w:t>
                  </w:r>
                </w:p>
              </w:tc>
              <w:tc>
                <w:tcPr>
                  <w:tcW w:w="1649"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36,469</w:t>
                  </w:r>
                </w:p>
              </w:tc>
              <w:tc>
                <w:tcPr>
                  <w:tcW w:w="731"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4.61%</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8</w:t>
                  </w:r>
                </w:p>
              </w:tc>
              <w:tc>
                <w:tcPr>
                  <w:tcW w:w="700"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VJC</w:t>
                  </w:r>
                </w:p>
              </w:tc>
              <w:tc>
                <w:tcPr>
                  <w:tcW w:w="1411"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Industrials </w:t>
                  </w:r>
                </w:p>
              </w:tc>
              <w:tc>
                <w:tcPr>
                  <w:tcW w:w="1649"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33,715</w:t>
                  </w:r>
                </w:p>
              </w:tc>
              <w:tc>
                <w:tcPr>
                  <w:tcW w:w="731"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4.27%</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9</w:t>
                  </w:r>
                </w:p>
              </w:tc>
              <w:tc>
                <w:tcPr>
                  <w:tcW w:w="700"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VPB</w:t>
                  </w:r>
                </w:p>
              </w:tc>
              <w:tc>
                <w:tcPr>
                  <w:tcW w:w="1411"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Financials </w:t>
                  </w:r>
                </w:p>
              </w:tc>
              <w:tc>
                <w:tcPr>
                  <w:tcW w:w="1649"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31,299</w:t>
                  </w:r>
                </w:p>
              </w:tc>
              <w:tc>
                <w:tcPr>
                  <w:tcW w:w="731"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3.96%</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10</w:t>
                  </w:r>
                </w:p>
              </w:tc>
              <w:tc>
                <w:tcPr>
                  <w:tcW w:w="700"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MBB</w:t>
                  </w:r>
                </w:p>
              </w:tc>
              <w:tc>
                <w:tcPr>
                  <w:tcW w:w="1411"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Financials </w:t>
                  </w:r>
                </w:p>
              </w:tc>
              <w:tc>
                <w:tcPr>
                  <w:tcW w:w="1649"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26,439</w:t>
                  </w:r>
                </w:p>
              </w:tc>
              <w:tc>
                <w:tcPr>
                  <w:tcW w:w="731"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55B45">
                    <w:rPr>
                      <w:rFonts w:ascii="Times New Roman" w:hAnsi="Times New Roman" w:cs="Times New Roman"/>
                      <w:color w:val="000000"/>
                      <w:sz w:val="14"/>
                      <w:szCs w:val="14"/>
                    </w:rPr>
                    <w:t>3.35%</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p>
              </w:tc>
              <w:tc>
                <w:tcPr>
                  <w:tcW w:w="700" w:type="dxa"/>
                  <w:shd w:val="clear" w:color="auto" w:fill="auto"/>
                  <w:noWrap/>
                  <w:vAlign w:val="center"/>
                  <w:hideMark/>
                </w:tcPr>
                <w:p w:rsidR="00E93BA2"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p>
              </w:tc>
              <w:tc>
                <w:tcPr>
                  <w:tcW w:w="1411" w:type="dxa"/>
                  <w:shd w:val="clear" w:color="auto" w:fill="auto"/>
                  <w:noWrap/>
                  <w:vAlign w:val="center"/>
                  <w:hideMark/>
                </w:tcPr>
                <w:p w:rsidR="00E93BA2" w:rsidRDefault="00E93BA2" w:rsidP="00E93BA2">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Total</w:t>
                  </w:r>
                </w:p>
              </w:tc>
              <w:tc>
                <w:tcPr>
                  <w:tcW w:w="1649"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b/>
                      <w:bCs/>
                      <w:color w:val="000000"/>
                      <w:sz w:val="14"/>
                      <w:szCs w:val="14"/>
                    </w:rPr>
                  </w:pPr>
                  <w:r w:rsidRPr="00C55B45">
                    <w:rPr>
                      <w:rFonts w:ascii="Times New Roman" w:hAnsi="Times New Roman" w:cs="Times New Roman"/>
                      <w:b/>
                      <w:bCs/>
                      <w:color w:val="000000"/>
                      <w:sz w:val="14"/>
                      <w:szCs w:val="14"/>
                    </w:rPr>
                    <w:t>551,262</w:t>
                  </w:r>
                </w:p>
              </w:tc>
              <w:tc>
                <w:tcPr>
                  <w:tcW w:w="731" w:type="dxa"/>
                  <w:shd w:val="clear" w:color="auto" w:fill="auto"/>
                  <w:noWrap/>
                  <w:vAlign w:val="center"/>
                  <w:hideMark/>
                </w:tcPr>
                <w:p w:rsidR="00E93BA2" w:rsidRPr="00C55B45" w:rsidRDefault="00E93BA2" w:rsidP="00E93BA2">
                  <w:pPr>
                    <w:autoSpaceDE w:val="0"/>
                    <w:autoSpaceDN w:val="0"/>
                    <w:adjustRightInd w:val="0"/>
                    <w:spacing w:after="0" w:line="240" w:lineRule="auto"/>
                    <w:jc w:val="center"/>
                    <w:rPr>
                      <w:rFonts w:ascii="Times New Roman" w:hAnsi="Times New Roman" w:cs="Times New Roman"/>
                      <w:b/>
                      <w:bCs/>
                      <w:color w:val="000000"/>
                      <w:sz w:val="14"/>
                      <w:szCs w:val="14"/>
                    </w:rPr>
                  </w:pPr>
                  <w:r w:rsidRPr="00C55B45">
                    <w:rPr>
                      <w:rFonts w:ascii="Times New Roman" w:hAnsi="Times New Roman" w:cs="Times New Roman"/>
                      <w:b/>
                      <w:bCs/>
                      <w:color w:val="000000"/>
                      <w:sz w:val="14"/>
                      <w:szCs w:val="14"/>
                    </w:rPr>
                    <w:t>69.75%</w:t>
                  </w:r>
                </w:p>
              </w:tc>
            </w:tr>
          </w:tbl>
          <w:p w:rsidR="00FA53D4" w:rsidRDefault="00FA53D4" w:rsidP="005266FC">
            <w:pPr>
              <w:rPr>
                <w:rFonts w:ascii="Arial" w:eastAsia="Times New Roman" w:hAnsi="Arial" w:cs="Arial"/>
              </w:rPr>
            </w:pPr>
          </w:p>
          <w:tbl>
            <w:tblPr>
              <w:tblStyle w:val="TableGrid"/>
              <w:tblW w:w="0" w:type="auto"/>
              <w:tblLayout w:type="fixed"/>
              <w:tblLook w:val="04A0" w:firstRow="1" w:lastRow="0" w:firstColumn="1" w:lastColumn="0" w:noHBand="0" w:noVBand="1"/>
            </w:tblPr>
            <w:tblGrid>
              <w:gridCol w:w="4985"/>
            </w:tblGrid>
            <w:tr w:rsidR="00FA53D4" w:rsidTr="005266FC">
              <w:trPr>
                <w:trHeight w:val="1884"/>
              </w:trPr>
              <w:tc>
                <w:tcPr>
                  <w:tcW w:w="4985" w:type="dxa"/>
                </w:tcPr>
                <w:p w:rsidR="00FA53D4" w:rsidRPr="00022FED" w:rsidRDefault="00FA53D4" w:rsidP="005266FC">
                  <w:pPr>
                    <w:jc w:val="both"/>
                    <w:rPr>
                      <w:rFonts w:ascii="Times New Roman" w:hAnsi="Times New Roman" w:cs="Times New Roman"/>
                      <w:sz w:val="14"/>
                      <w:szCs w:val="16"/>
                    </w:rPr>
                  </w:pPr>
                  <w:r w:rsidRPr="00022FED">
                    <w:rPr>
                      <w:rFonts w:ascii="Times New Roman" w:hAnsi="Times New Roman" w:cs="Times New Roman"/>
                      <w:b/>
                      <w:sz w:val="14"/>
                      <w:szCs w:val="16"/>
                    </w:rPr>
                    <w:t xml:space="preserve">Disclaimer: </w:t>
                  </w:r>
                  <w:r w:rsidRPr="00022FED">
                    <w:rPr>
                      <w:rFonts w:ascii="Times New Roman" w:hAnsi="Times New Roman" w:cs="Times New Roman"/>
                      <w:sz w:val="14"/>
                      <w:szCs w:val="16"/>
                    </w:rPr>
                    <w:t>"</w:t>
                  </w:r>
                  <w:r w:rsidRPr="00022FED">
                    <w:rPr>
                      <w:rFonts w:ascii="Times New Roman" w:hAnsi="Times New Roman" w:cs="Times New Roman"/>
                      <w:b/>
                      <w:sz w:val="14"/>
                      <w:szCs w:val="16"/>
                    </w:rPr>
                    <w:t>VN30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VNMidcap</w:t>
                  </w:r>
                  <w:proofErr w:type="spellEnd"/>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VNSmallCap</w:t>
                  </w:r>
                  <w:proofErr w:type="spellEnd"/>
                  <w:r w:rsidRPr="00022FED">
                    <w:rPr>
                      <w:rFonts w:ascii="Times New Roman" w:hAnsi="Times New Roman" w:cs="Times New Roman"/>
                      <w:sz w:val="14"/>
                      <w:szCs w:val="16"/>
                    </w:rPr>
                    <w:t>", “</w:t>
                  </w:r>
                  <w:r w:rsidRPr="00022FED">
                    <w:rPr>
                      <w:rFonts w:ascii="Times New Roman" w:hAnsi="Times New Roman" w:cs="Times New Roman"/>
                      <w:b/>
                      <w:sz w:val="14"/>
                      <w:szCs w:val="16"/>
                    </w:rPr>
                    <w:t>VN100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sz w:val="14"/>
                      <w:szCs w:val="16"/>
                    </w:rPr>
                    <w:t>” and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b/>
                      <w:sz w:val="14"/>
                      <w:szCs w:val="16"/>
                    </w:rPr>
                    <w:t xml:space="preserve"> Sector</w:t>
                  </w:r>
                  <w:r w:rsidRPr="00022FED">
                    <w:rPr>
                      <w:rFonts w:ascii="Times New Roman" w:hAnsi="Times New Roman" w:cs="Times New Roman"/>
                      <w:sz w:val="14"/>
                      <w:szCs w:val="16"/>
                    </w:rPr>
                    <w:t>" (collectively called "</w:t>
                  </w:r>
                  <w:r w:rsidRPr="00022FED">
                    <w:rPr>
                      <w:rFonts w:ascii="Times New Roman" w:hAnsi="Times New Roman" w:cs="Times New Roman"/>
                      <w:b/>
                      <w:sz w:val="14"/>
                      <w:szCs w:val="16"/>
                    </w:rPr>
                    <w:t>HOSE-Index</w:t>
                  </w:r>
                  <w:r w:rsidRPr="00022FED">
                    <w:rPr>
                      <w:rFonts w:ascii="Times New Roman" w:hAnsi="Times New Roman" w:cs="Times New Roman"/>
                      <w:sz w:val="14"/>
                      <w:szCs w:val="16"/>
                    </w:rPr>
                    <w:t xml:space="preserve">") are the registered trademarks and/or service mark solely owned by, and proprietary to the </w:t>
                  </w:r>
                  <w:proofErr w:type="spellStart"/>
                  <w:r w:rsidRPr="00022FED">
                    <w:rPr>
                      <w:rFonts w:ascii="Times New Roman" w:hAnsi="Times New Roman" w:cs="Times New Roman"/>
                      <w:sz w:val="14"/>
                      <w:szCs w:val="16"/>
                    </w:rPr>
                    <w:t>Hochiminh</w:t>
                  </w:r>
                  <w:proofErr w:type="spellEnd"/>
                  <w:r w:rsidRPr="00022FED">
                    <w:rPr>
                      <w:rFonts w:ascii="Times New Roman" w:hAnsi="Times New Roman" w:cs="Times New Roman"/>
                      <w:sz w:val="14"/>
                      <w:szCs w:val="16"/>
                    </w:rPr>
                    <w:t xml:space="preserve"> Stock Exchange</w:t>
                  </w:r>
                  <w:r>
                    <w:rPr>
                      <w:rFonts w:ascii="Times New Roman" w:hAnsi="Times New Roman" w:cs="Times New Roman"/>
                      <w:sz w:val="14"/>
                      <w:szCs w:val="16"/>
                    </w:rPr>
                    <w:t xml:space="preserve"> (HOSE)</w:t>
                  </w:r>
                  <w:r w:rsidRPr="00022FED">
                    <w:rPr>
                      <w:rFonts w:ascii="Times New Roman" w:hAnsi="Times New Roman" w:cs="Times New Roman"/>
                      <w:sz w:val="14"/>
                      <w:szCs w:val="16"/>
                    </w:rPr>
                    <w:t xml:space="preserve">. HOSE-Index can be used to create a range of index-linked products including but not limited to tracker funds, derivatives, etc. Such product creation is subject to approval by HOSE. For more information, please contact via e-mail: </w:t>
                  </w:r>
                  <w:r w:rsidRPr="00022FED">
                    <w:rPr>
                      <w:rFonts w:ascii="Times New Roman" w:hAnsi="Times New Roman" w:cs="Times New Roman"/>
                      <w:i/>
                      <w:sz w:val="14"/>
                      <w:szCs w:val="16"/>
                    </w:rPr>
                    <w:t>index@hsx.vn</w:t>
                  </w:r>
                </w:p>
                <w:p w:rsidR="00FA53D4" w:rsidRPr="009C571F" w:rsidRDefault="00FA53D4" w:rsidP="005266FC">
                  <w:pPr>
                    <w:jc w:val="both"/>
                    <w:rPr>
                      <w:rFonts w:ascii="Times New Roman" w:hAnsi="Times New Roman" w:cs="Times New Roman"/>
                      <w:sz w:val="12"/>
                      <w:szCs w:val="12"/>
                    </w:rPr>
                  </w:pPr>
                  <w:r w:rsidRPr="00022FED">
                    <w:rPr>
                      <w:rFonts w:ascii="Times New Roman" w:hAnsi="Times New Roman" w:cs="Times New Roman"/>
                      <w:sz w:val="14"/>
                      <w:szCs w:val="16"/>
                    </w:rPr>
                    <w:t>All information is provided for information purposes only. Every effort is made to ensure that all information given in this publication is accurate, but no responsibility or liability can be accepted by HOSE nor its</w:t>
                  </w:r>
                  <w:r w:rsidRPr="00022FED">
                    <w:rPr>
                      <w:rFonts w:ascii="Times New Roman" w:hAnsi="Times New Roman" w:cs="Times New Roman"/>
                    </w:rPr>
                    <w:t xml:space="preserve"> </w:t>
                  </w:r>
                  <w:r w:rsidRPr="00022FED">
                    <w:rPr>
                      <w:rFonts w:ascii="Times New Roman" w:hAnsi="Times New Roman" w:cs="Times New Roman"/>
                      <w:sz w:val="14"/>
                      <w:szCs w:val="16"/>
                    </w:rPr>
                    <w:t>directors, officers, employees, partners or licensors for any errors or for any loss from use of this publication or any of the information or data contained herein.</w:t>
                  </w:r>
                </w:p>
              </w:tc>
            </w:tr>
          </w:tbl>
          <w:p w:rsidR="00FA53D4" w:rsidRPr="006D2F55" w:rsidRDefault="00FA53D4" w:rsidP="005266FC">
            <w:pPr>
              <w:jc w:val="center"/>
              <w:rPr>
                <w:rFonts w:ascii="Arial" w:eastAsia="Times New Roman" w:hAnsi="Arial" w:cs="Arial"/>
              </w:rPr>
            </w:pPr>
          </w:p>
        </w:tc>
      </w:tr>
      <w:tr w:rsidR="00FA53D4" w:rsidRPr="006D2F55" w:rsidTr="00474BB6">
        <w:tblPrEx>
          <w:tblCellMar>
            <w:left w:w="108" w:type="dxa"/>
            <w:right w:w="108" w:type="dxa"/>
          </w:tblCellMar>
        </w:tblPrEx>
        <w:trPr>
          <w:gridAfter w:val="1"/>
          <w:wAfter w:w="49" w:type="dxa"/>
          <w:trHeight w:val="302"/>
          <w:jc w:val="center"/>
        </w:trPr>
        <w:tc>
          <w:tcPr>
            <w:tcW w:w="5575" w:type="dxa"/>
            <w:gridSpan w:val="2"/>
            <w:shd w:val="clear" w:color="auto" w:fill="0070C0"/>
            <w:vAlign w:val="center"/>
          </w:tcPr>
          <w:p w:rsidR="00FA53D4" w:rsidRPr="00252690" w:rsidRDefault="00FA53D4" w:rsidP="005266FC">
            <w:pPr>
              <w:rPr>
                <w:rFonts w:ascii="Arial" w:eastAsia="Times New Roman" w:hAnsi="Arial" w:cs="Arial"/>
              </w:rPr>
            </w:pPr>
            <w:r w:rsidRPr="0006583E">
              <w:rPr>
                <w:rFonts w:ascii="Times New Roman" w:eastAsia="Times New Roman" w:hAnsi="Times New Roman" w:cs="Times New Roman"/>
                <w:b/>
                <w:color w:val="FFFFFF" w:themeColor="background1"/>
                <w:szCs w:val="12"/>
              </w:rPr>
              <w:t>Top-5 Sectors of Market Capitalization</w:t>
            </w:r>
          </w:p>
        </w:tc>
        <w:tc>
          <w:tcPr>
            <w:tcW w:w="5637" w:type="dxa"/>
            <w:gridSpan w:val="6"/>
            <w:vMerge/>
          </w:tcPr>
          <w:p w:rsidR="00FA53D4" w:rsidRPr="006D2F55" w:rsidRDefault="00FA53D4" w:rsidP="005266FC">
            <w:pPr>
              <w:jc w:val="center"/>
              <w:rPr>
                <w:rFonts w:ascii="Arial" w:eastAsia="Times New Roman" w:hAnsi="Arial" w:cs="Arial"/>
              </w:rPr>
            </w:pPr>
          </w:p>
        </w:tc>
      </w:tr>
      <w:tr w:rsidR="00FA53D4" w:rsidRPr="006D2F55" w:rsidTr="00474BB6">
        <w:tblPrEx>
          <w:tblCellMar>
            <w:left w:w="108" w:type="dxa"/>
            <w:right w:w="108" w:type="dxa"/>
          </w:tblCellMar>
        </w:tblPrEx>
        <w:trPr>
          <w:gridAfter w:val="1"/>
          <w:wAfter w:w="49" w:type="dxa"/>
          <w:trHeight w:hRule="exact" w:val="2566"/>
          <w:jc w:val="center"/>
        </w:trPr>
        <w:tc>
          <w:tcPr>
            <w:tcW w:w="5575" w:type="dxa"/>
            <w:gridSpan w:val="2"/>
          </w:tcPr>
          <w:tbl>
            <w:tblPr>
              <w:tblpPr w:leftFromText="180" w:rightFromText="180" w:vertAnchor="page" w:horzAnchor="margin" w:tblpY="1"/>
              <w:tblOverlap w:val="never"/>
              <w:tblW w:w="5776"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1485"/>
              <w:gridCol w:w="1228"/>
              <w:gridCol w:w="2135"/>
              <w:gridCol w:w="928"/>
            </w:tblGrid>
            <w:tr w:rsidR="00FA53D4" w:rsidRPr="000C45C8" w:rsidTr="005266FC">
              <w:trPr>
                <w:trHeight w:val="328"/>
              </w:trPr>
              <w:tc>
                <w:tcPr>
                  <w:tcW w:w="1485" w:type="dxa"/>
                  <w:shd w:val="clear" w:color="auto" w:fill="auto"/>
                  <w:noWrap/>
                  <w:vAlign w:val="center"/>
                  <w:hideMark/>
                </w:tcPr>
                <w:p w:rsidR="00FA53D4" w:rsidRPr="007F1789" w:rsidRDefault="00FA53D4" w:rsidP="005266FC">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Sector</w:t>
                  </w:r>
                </w:p>
              </w:tc>
              <w:tc>
                <w:tcPr>
                  <w:tcW w:w="1228" w:type="dxa"/>
                  <w:shd w:val="clear" w:color="auto" w:fill="auto"/>
                  <w:noWrap/>
                  <w:vAlign w:val="center"/>
                  <w:hideMark/>
                </w:tcPr>
                <w:p w:rsidR="00FA53D4" w:rsidRPr="007F1789" w:rsidRDefault="00FA53D4" w:rsidP="005266FC">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Number of Companies</w:t>
                  </w:r>
                </w:p>
              </w:tc>
              <w:tc>
                <w:tcPr>
                  <w:tcW w:w="2135" w:type="dxa"/>
                  <w:vAlign w:val="center"/>
                </w:tcPr>
                <w:p w:rsidR="00FA53D4" w:rsidRPr="007F1789" w:rsidRDefault="00FA53D4" w:rsidP="005266FC">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Free-</w:t>
                  </w:r>
                  <w:r w:rsidRPr="007F1789">
                    <w:rPr>
                      <w:rFonts w:ascii="Times New Roman" w:eastAsia="Times New Roman" w:hAnsi="Times New Roman" w:cs="Times New Roman"/>
                      <w:b/>
                      <w:sz w:val="14"/>
                      <w:szCs w:val="14"/>
                    </w:rPr>
                    <w:t>float adjusted</w:t>
                  </w:r>
                </w:p>
                <w:p w:rsidR="00FA53D4" w:rsidRPr="007F1789" w:rsidRDefault="00FA53D4" w:rsidP="005266FC">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market-cap</w:t>
                  </w:r>
                  <w:r w:rsidRPr="007F1789">
                    <w:rPr>
                      <w:rFonts w:ascii="Times New Roman" w:eastAsia="Times New Roman" w:hAnsi="Times New Roman" w:cs="Times New Roman"/>
                      <w:b/>
                      <w:sz w:val="14"/>
                      <w:szCs w:val="14"/>
                    </w:rPr>
                    <w:t xml:space="preserve"> </w:t>
                  </w:r>
                  <w:r w:rsidRPr="007F1789">
                    <w:rPr>
                      <w:rFonts w:ascii="Times New Roman" w:eastAsia="Times New Roman" w:hAnsi="Times New Roman" w:cs="Times New Roman"/>
                      <w:b/>
                      <w:bCs/>
                      <w:color w:val="000000"/>
                      <w:sz w:val="14"/>
                      <w:szCs w:val="14"/>
                    </w:rPr>
                    <w:t>(</w:t>
                  </w:r>
                  <w:r>
                    <w:rPr>
                      <w:rFonts w:ascii="Times New Roman" w:eastAsia="Times New Roman" w:hAnsi="Times New Roman" w:cs="Times New Roman"/>
                      <w:b/>
                      <w:bCs/>
                      <w:color w:val="000000"/>
                      <w:sz w:val="14"/>
                      <w:szCs w:val="14"/>
                    </w:rPr>
                    <w:t>Billion VND</w:t>
                  </w:r>
                  <w:r w:rsidRPr="007F1789">
                    <w:rPr>
                      <w:rFonts w:ascii="Times New Roman" w:eastAsia="Times New Roman" w:hAnsi="Times New Roman" w:cs="Times New Roman"/>
                      <w:b/>
                      <w:bCs/>
                      <w:color w:val="000000"/>
                      <w:sz w:val="14"/>
                      <w:szCs w:val="14"/>
                    </w:rPr>
                    <w:t>)</w:t>
                  </w:r>
                </w:p>
              </w:tc>
              <w:tc>
                <w:tcPr>
                  <w:tcW w:w="928" w:type="dxa"/>
                  <w:vAlign w:val="center"/>
                </w:tcPr>
                <w:p w:rsidR="00FA53D4" w:rsidRPr="007F1789" w:rsidRDefault="00FA53D4" w:rsidP="005266FC">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Weight</w:t>
                  </w:r>
                </w:p>
                <w:p w:rsidR="00FA53D4" w:rsidRPr="007F1789" w:rsidRDefault="00FA53D4" w:rsidP="005266FC">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w:t>
                  </w:r>
                </w:p>
              </w:tc>
            </w:tr>
            <w:tr w:rsidR="00E93BA2" w:rsidRPr="000C45C8" w:rsidTr="005266FC">
              <w:trPr>
                <w:trHeight w:val="312"/>
              </w:trPr>
              <w:tc>
                <w:tcPr>
                  <w:tcW w:w="1485" w:type="dxa"/>
                  <w:shd w:val="clear" w:color="auto" w:fill="auto"/>
                  <w:noWrap/>
                  <w:vAlign w:val="center"/>
                  <w:hideMark/>
                </w:tcPr>
                <w:p w:rsidR="00E93BA2" w:rsidRPr="00E93BA2" w:rsidRDefault="00E93BA2" w:rsidP="00E93BA2">
                  <w:pPr>
                    <w:autoSpaceDE w:val="0"/>
                    <w:autoSpaceDN w:val="0"/>
                    <w:adjustRightInd w:val="0"/>
                    <w:spacing w:after="0" w:line="240" w:lineRule="auto"/>
                    <w:jc w:val="center"/>
                    <w:rPr>
                      <w:rFonts w:ascii="Times New Roman" w:hAnsi="Times New Roman" w:cs="Times New Roman"/>
                      <w:b/>
                      <w:bCs/>
                      <w:color w:val="000000"/>
                      <w:sz w:val="14"/>
                      <w:szCs w:val="14"/>
                    </w:rPr>
                  </w:pPr>
                  <w:r w:rsidRPr="00E93BA2">
                    <w:rPr>
                      <w:rFonts w:ascii="Times New Roman" w:hAnsi="Times New Roman" w:cs="Times New Roman"/>
                      <w:b/>
                      <w:bCs/>
                      <w:color w:val="000000"/>
                      <w:sz w:val="14"/>
                      <w:szCs w:val="14"/>
                    </w:rPr>
                    <w:t>Real Estate</w:t>
                  </w:r>
                </w:p>
              </w:tc>
              <w:tc>
                <w:tcPr>
                  <w:tcW w:w="1228" w:type="dxa"/>
                  <w:shd w:val="clear" w:color="auto" w:fill="auto"/>
                  <w:noWrap/>
                  <w:vAlign w:val="center"/>
                  <w:hideMark/>
                </w:tcPr>
                <w:p w:rsidR="00E93BA2" w:rsidRPr="00E93BA2" w:rsidRDefault="00E93BA2" w:rsidP="00E93BA2">
                  <w:pPr>
                    <w:autoSpaceDE w:val="0"/>
                    <w:autoSpaceDN w:val="0"/>
                    <w:adjustRightInd w:val="0"/>
                    <w:spacing w:after="0" w:line="240" w:lineRule="auto"/>
                    <w:jc w:val="center"/>
                    <w:rPr>
                      <w:rFonts w:ascii="Times New Roman" w:hAnsi="Times New Roman" w:cs="Times New Roman"/>
                      <w:bCs/>
                      <w:color w:val="000000"/>
                      <w:sz w:val="14"/>
                      <w:szCs w:val="14"/>
                    </w:rPr>
                  </w:pPr>
                  <w:r w:rsidRPr="00E93BA2">
                    <w:rPr>
                      <w:rFonts w:ascii="Times New Roman" w:hAnsi="Times New Roman" w:cs="Times New Roman"/>
                      <w:bCs/>
                      <w:color w:val="000000"/>
                      <w:sz w:val="14"/>
                      <w:szCs w:val="14"/>
                    </w:rPr>
                    <w:t>4</w:t>
                  </w:r>
                </w:p>
              </w:tc>
              <w:tc>
                <w:tcPr>
                  <w:tcW w:w="2135" w:type="dxa"/>
                  <w:vAlign w:val="center"/>
                </w:tcPr>
                <w:p w:rsidR="00E93BA2" w:rsidRPr="00E93BA2" w:rsidRDefault="00E93BA2" w:rsidP="00E93BA2">
                  <w:pPr>
                    <w:autoSpaceDE w:val="0"/>
                    <w:autoSpaceDN w:val="0"/>
                    <w:adjustRightInd w:val="0"/>
                    <w:spacing w:after="0" w:line="240" w:lineRule="auto"/>
                    <w:jc w:val="center"/>
                    <w:rPr>
                      <w:rFonts w:ascii="Times New Roman" w:hAnsi="Times New Roman" w:cs="Times New Roman"/>
                      <w:bCs/>
                      <w:color w:val="000000"/>
                      <w:sz w:val="14"/>
                      <w:szCs w:val="14"/>
                    </w:rPr>
                  </w:pPr>
                  <w:r w:rsidRPr="00E93BA2">
                    <w:rPr>
                      <w:rFonts w:ascii="Times New Roman" w:hAnsi="Times New Roman" w:cs="Times New Roman"/>
                      <w:bCs/>
                      <w:color w:val="000000"/>
                      <w:sz w:val="14"/>
                      <w:szCs w:val="14"/>
                    </w:rPr>
                    <w:t>234,467</w:t>
                  </w:r>
                </w:p>
              </w:tc>
              <w:tc>
                <w:tcPr>
                  <w:tcW w:w="928" w:type="dxa"/>
                  <w:vAlign w:val="center"/>
                </w:tcPr>
                <w:p w:rsidR="00E93BA2" w:rsidRPr="00E93BA2" w:rsidRDefault="00E93BA2" w:rsidP="00E93BA2">
                  <w:pPr>
                    <w:autoSpaceDE w:val="0"/>
                    <w:autoSpaceDN w:val="0"/>
                    <w:adjustRightInd w:val="0"/>
                    <w:spacing w:after="0" w:line="240" w:lineRule="auto"/>
                    <w:jc w:val="center"/>
                    <w:rPr>
                      <w:rFonts w:ascii="Times New Roman" w:hAnsi="Times New Roman" w:cs="Times New Roman"/>
                      <w:bCs/>
                      <w:color w:val="000000"/>
                      <w:sz w:val="14"/>
                      <w:szCs w:val="14"/>
                    </w:rPr>
                  </w:pPr>
                  <w:r w:rsidRPr="00E93BA2">
                    <w:rPr>
                      <w:rFonts w:ascii="Times New Roman" w:hAnsi="Times New Roman" w:cs="Times New Roman"/>
                      <w:bCs/>
                      <w:color w:val="000000"/>
                      <w:sz w:val="14"/>
                      <w:szCs w:val="14"/>
                    </w:rPr>
                    <w:t>29.67%</w:t>
                  </w:r>
                </w:p>
              </w:tc>
            </w:tr>
            <w:tr w:rsidR="00E93BA2" w:rsidRPr="000C45C8" w:rsidTr="005266FC">
              <w:trPr>
                <w:trHeight w:val="312"/>
              </w:trPr>
              <w:tc>
                <w:tcPr>
                  <w:tcW w:w="1485" w:type="dxa"/>
                  <w:shd w:val="clear" w:color="auto" w:fill="auto"/>
                  <w:noWrap/>
                  <w:vAlign w:val="center"/>
                  <w:hideMark/>
                </w:tcPr>
                <w:p w:rsidR="00E93BA2" w:rsidRPr="00E93BA2" w:rsidRDefault="00E93BA2" w:rsidP="00E93BA2">
                  <w:pPr>
                    <w:autoSpaceDE w:val="0"/>
                    <w:autoSpaceDN w:val="0"/>
                    <w:adjustRightInd w:val="0"/>
                    <w:spacing w:after="0" w:line="240" w:lineRule="auto"/>
                    <w:jc w:val="center"/>
                    <w:rPr>
                      <w:rFonts w:ascii="Times New Roman" w:hAnsi="Times New Roman" w:cs="Times New Roman"/>
                      <w:b/>
                      <w:bCs/>
                      <w:color w:val="000000"/>
                      <w:sz w:val="14"/>
                      <w:szCs w:val="14"/>
                    </w:rPr>
                  </w:pPr>
                  <w:r w:rsidRPr="00E93BA2">
                    <w:rPr>
                      <w:rFonts w:ascii="Times New Roman" w:hAnsi="Times New Roman" w:cs="Times New Roman"/>
                      <w:b/>
                      <w:bCs/>
                      <w:color w:val="000000"/>
                      <w:sz w:val="14"/>
                      <w:szCs w:val="14"/>
                    </w:rPr>
                    <w:t>Financials</w:t>
                  </w:r>
                </w:p>
              </w:tc>
              <w:tc>
                <w:tcPr>
                  <w:tcW w:w="1228" w:type="dxa"/>
                  <w:shd w:val="clear" w:color="auto" w:fill="auto"/>
                  <w:noWrap/>
                  <w:vAlign w:val="center"/>
                  <w:hideMark/>
                </w:tcPr>
                <w:p w:rsidR="00E93BA2" w:rsidRPr="00E93BA2" w:rsidRDefault="00E93BA2" w:rsidP="00E93BA2">
                  <w:pPr>
                    <w:autoSpaceDE w:val="0"/>
                    <w:autoSpaceDN w:val="0"/>
                    <w:adjustRightInd w:val="0"/>
                    <w:spacing w:after="0" w:line="240" w:lineRule="auto"/>
                    <w:jc w:val="center"/>
                    <w:rPr>
                      <w:rFonts w:ascii="Times New Roman" w:hAnsi="Times New Roman" w:cs="Times New Roman"/>
                      <w:bCs/>
                      <w:color w:val="000000"/>
                      <w:sz w:val="14"/>
                      <w:szCs w:val="14"/>
                    </w:rPr>
                  </w:pPr>
                  <w:r w:rsidRPr="00E93BA2">
                    <w:rPr>
                      <w:rFonts w:ascii="Times New Roman" w:hAnsi="Times New Roman" w:cs="Times New Roman"/>
                      <w:bCs/>
                      <w:color w:val="000000"/>
                      <w:sz w:val="14"/>
                      <w:szCs w:val="14"/>
                    </w:rPr>
                    <w:t>9</w:t>
                  </w:r>
                </w:p>
              </w:tc>
              <w:tc>
                <w:tcPr>
                  <w:tcW w:w="2135" w:type="dxa"/>
                  <w:vAlign w:val="center"/>
                </w:tcPr>
                <w:p w:rsidR="00E93BA2" w:rsidRPr="00E93BA2" w:rsidRDefault="00E93BA2" w:rsidP="00E93BA2">
                  <w:pPr>
                    <w:autoSpaceDE w:val="0"/>
                    <w:autoSpaceDN w:val="0"/>
                    <w:adjustRightInd w:val="0"/>
                    <w:spacing w:after="0" w:line="240" w:lineRule="auto"/>
                    <w:jc w:val="center"/>
                    <w:rPr>
                      <w:rFonts w:ascii="Times New Roman" w:hAnsi="Times New Roman" w:cs="Times New Roman"/>
                      <w:bCs/>
                      <w:color w:val="000000"/>
                      <w:sz w:val="14"/>
                      <w:szCs w:val="14"/>
                    </w:rPr>
                  </w:pPr>
                  <w:r w:rsidRPr="00E93BA2">
                    <w:rPr>
                      <w:rFonts w:ascii="Times New Roman" w:hAnsi="Times New Roman" w:cs="Times New Roman"/>
                      <w:bCs/>
                      <w:color w:val="000000"/>
                      <w:sz w:val="14"/>
                      <w:szCs w:val="14"/>
                    </w:rPr>
                    <w:t>200,057</w:t>
                  </w:r>
                </w:p>
              </w:tc>
              <w:tc>
                <w:tcPr>
                  <w:tcW w:w="928" w:type="dxa"/>
                  <w:vAlign w:val="center"/>
                </w:tcPr>
                <w:p w:rsidR="00E93BA2" w:rsidRPr="00E93BA2" w:rsidRDefault="00E93BA2" w:rsidP="00E93BA2">
                  <w:pPr>
                    <w:autoSpaceDE w:val="0"/>
                    <w:autoSpaceDN w:val="0"/>
                    <w:adjustRightInd w:val="0"/>
                    <w:spacing w:after="0" w:line="240" w:lineRule="auto"/>
                    <w:jc w:val="center"/>
                    <w:rPr>
                      <w:rFonts w:ascii="Times New Roman" w:hAnsi="Times New Roman" w:cs="Times New Roman"/>
                      <w:bCs/>
                      <w:color w:val="000000"/>
                      <w:sz w:val="14"/>
                      <w:szCs w:val="14"/>
                    </w:rPr>
                  </w:pPr>
                  <w:r w:rsidRPr="00E93BA2">
                    <w:rPr>
                      <w:rFonts w:ascii="Times New Roman" w:hAnsi="Times New Roman" w:cs="Times New Roman"/>
                      <w:bCs/>
                      <w:color w:val="000000"/>
                      <w:sz w:val="14"/>
                      <w:szCs w:val="14"/>
                    </w:rPr>
                    <w:t>25.31%</w:t>
                  </w:r>
                </w:p>
              </w:tc>
            </w:tr>
            <w:tr w:rsidR="00E93BA2" w:rsidRPr="000C45C8" w:rsidTr="005266FC">
              <w:trPr>
                <w:trHeight w:val="312"/>
              </w:trPr>
              <w:tc>
                <w:tcPr>
                  <w:tcW w:w="1485" w:type="dxa"/>
                  <w:shd w:val="clear" w:color="auto" w:fill="auto"/>
                  <w:noWrap/>
                  <w:vAlign w:val="center"/>
                  <w:hideMark/>
                </w:tcPr>
                <w:p w:rsidR="00E93BA2" w:rsidRPr="00E93BA2" w:rsidRDefault="00E93BA2" w:rsidP="00E93BA2">
                  <w:pPr>
                    <w:autoSpaceDE w:val="0"/>
                    <w:autoSpaceDN w:val="0"/>
                    <w:adjustRightInd w:val="0"/>
                    <w:spacing w:after="0" w:line="240" w:lineRule="auto"/>
                    <w:jc w:val="center"/>
                    <w:rPr>
                      <w:rFonts w:ascii="Times New Roman" w:hAnsi="Times New Roman" w:cs="Times New Roman"/>
                      <w:b/>
                      <w:bCs/>
                      <w:color w:val="000000"/>
                      <w:sz w:val="14"/>
                      <w:szCs w:val="14"/>
                    </w:rPr>
                  </w:pPr>
                  <w:r w:rsidRPr="00E93BA2">
                    <w:rPr>
                      <w:rFonts w:ascii="Times New Roman" w:hAnsi="Times New Roman" w:cs="Times New Roman"/>
                      <w:b/>
                      <w:bCs/>
                      <w:color w:val="000000"/>
                      <w:sz w:val="14"/>
                      <w:szCs w:val="14"/>
                    </w:rPr>
                    <w:t>Consumer Staples</w:t>
                  </w:r>
                </w:p>
              </w:tc>
              <w:tc>
                <w:tcPr>
                  <w:tcW w:w="1228" w:type="dxa"/>
                  <w:shd w:val="clear" w:color="auto" w:fill="auto"/>
                  <w:noWrap/>
                  <w:vAlign w:val="center"/>
                  <w:hideMark/>
                </w:tcPr>
                <w:p w:rsidR="00E93BA2" w:rsidRPr="00E93BA2" w:rsidRDefault="00E93BA2" w:rsidP="00E93BA2">
                  <w:pPr>
                    <w:autoSpaceDE w:val="0"/>
                    <w:autoSpaceDN w:val="0"/>
                    <w:adjustRightInd w:val="0"/>
                    <w:spacing w:after="0" w:line="240" w:lineRule="auto"/>
                    <w:jc w:val="center"/>
                    <w:rPr>
                      <w:rFonts w:ascii="Times New Roman" w:hAnsi="Times New Roman" w:cs="Times New Roman"/>
                      <w:bCs/>
                      <w:color w:val="000000"/>
                      <w:sz w:val="14"/>
                      <w:szCs w:val="14"/>
                    </w:rPr>
                  </w:pPr>
                  <w:r w:rsidRPr="00E93BA2">
                    <w:rPr>
                      <w:rFonts w:ascii="Times New Roman" w:hAnsi="Times New Roman" w:cs="Times New Roman"/>
                      <w:bCs/>
                      <w:color w:val="000000"/>
                      <w:sz w:val="14"/>
                      <w:szCs w:val="14"/>
                    </w:rPr>
                    <w:t>4</w:t>
                  </w:r>
                </w:p>
              </w:tc>
              <w:tc>
                <w:tcPr>
                  <w:tcW w:w="2135" w:type="dxa"/>
                  <w:vAlign w:val="center"/>
                </w:tcPr>
                <w:p w:rsidR="00E93BA2" w:rsidRPr="00E93BA2" w:rsidRDefault="00E93BA2" w:rsidP="00E93BA2">
                  <w:pPr>
                    <w:autoSpaceDE w:val="0"/>
                    <w:autoSpaceDN w:val="0"/>
                    <w:adjustRightInd w:val="0"/>
                    <w:spacing w:after="0" w:line="240" w:lineRule="auto"/>
                    <w:jc w:val="center"/>
                    <w:rPr>
                      <w:rFonts w:ascii="Times New Roman" w:hAnsi="Times New Roman" w:cs="Times New Roman"/>
                      <w:bCs/>
                      <w:color w:val="000000"/>
                      <w:sz w:val="14"/>
                      <w:szCs w:val="14"/>
                    </w:rPr>
                  </w:pPr>
                  <w:r w:rsidRPr="00E93BA2">
                    <w:rPr>
                      <w:rFonts w:ascii="Times New Roman" w:hAnsi="Times New Roman" w:cs="Times New Roman"/>
                      <w:bCs/>
                      <w:color w:val="000000"/>
                      <w:sz w:val="14"/>
                      <w:szCs w:val="14"/>
                    </w:rPr>
                    <w:t>176,249</w:t>
                  </w:r>
                </w:p>
              </w:tc>
              <w:tc>
                <w:tcPr>
                  <w:tcW w:w="928" w:type="dxa"/>
                  <w:vAlign w:val="center"/>
                </w:tcPr>
                <w:p w:rsidR="00E93BA2" w:rsidRPr="00E93BA2" w:rsidRDefault="00E93BA2" w:rsidP="00E93BA2">
                  <w:pPr>
                    <w:autoSpaceDE w:val="0"/>
                    <w:autoSpaceDN w:val="0"/>
                    <w:adjustRightInd w:val="0"/>
                    <w:spacing w:after="0" w:line="240" w:lineRule="auto"/>
                    <w:jc w:val="center"/>
                    <w:rPr>
                      <w:rFonts w:ascii="Times New Roman" w:hAnsi="Times New Roman" w:cs="Times New Roman"/>
                      <w:bCs/>
                      <w:color w:val="000000"/>
                      <w:sz w:val="14"/>
                      <w:szCs w:val="14"/>
                    </w:rPr>
                  </w:pPr>
                  <w:r w:rsidRPr="00E93BA2">
                    <w:rPr>
                      <w:rFonts w:ascii="Times New Roman" w:hAnsi="Times New Roman" w:cs="Times New Roman"/>
                      <w:bCs/>
                      <w:color w:val="000000"/>
                      <w:sz w:val="14"/>
                      <w:szCs w:val="14"/>
                    </w:rPr>
                    <w:t>22.30%</w:t>
                  </w:r>
                </w:p>
              </w:tc>
            </w:tr>
            <w:tr w:rsidR="00E93BA2" w:rsidRPr="000C45C8" w:rsidTr="005266FC">
              <w:trPr>
                <w:trHeight w:val="312"/>
              </w:trPr>
              <w:tc>
                <w:tcPr>
                  <w:tcW w:w="1485" w:type="dxa"/>
                  <w:shd w:val="clear" w:color="auto" w:fill="auto"/>
                  <w:noWrap/>
                  <w:vAlign w:val="center"/>
                  <w:hideMark/>
                </w:tcPr>
                <w:p w:rsidR="00E93BA2" w:rsidRPr="00E93BA2" w:rsidRDefault="00E93BA2" w:rsidP="00E93BA2">
                  <w:pPr>
                    <w:autoSpaceDE w:val="0"/>
                    <w:autoSpaceDN w:val="0"/>
                    <w:adjustRightInd w:val="0"/>
                    <w:spacing w:after="0" w:line="240" w:lineRule="auto"/>
                    <w:jc w:val="center"/>
                    <w:rPr>
                      <w:rFonts w:ascii="Times New Roman" w:hAnsi="Times New Roman" w:cs="Times New Roman"/>
                      <w:b/>
                      <w:bCs/>
                      <w:color w:val="000000"/>
                      <w:sz w:val="14"/>
                      <w:szCs w:val="14"/>
                    </w:rPr>
                  </w:pPr>
                  <w:r w:rsidRPr="00E93BA2">
                    <w:rPr>
                      <w:rFonts w:ascii="Times New Roman" w:hAnsi="Times New Roman" w:cs="Times New Roman"/>
                      <w:b/>
                      <w:bCs/>
                      <w:color w:val="000000"/>
                      <w:sz w:val="14"/>
                      <w:szCs w:val="14"/>
                    </w:rPr>
                    <w:t>Industrials</w:t>
                  </w:r>
                </w:p>
              </w:tc>
              <w:tc>
                <w:tcPr>
                  <w:tcW w:w="1228" w:type="dxa"/>
                  <w:shd w:val="clear" w:color="auto" w:fill="auto"/>
                  <w:noWrap/>
                  <w:vAlign w:val="center"/>
                  <w:hideMark/>
                </w:tcPr>
                <w:p w:rsidR="00E93BA2" w:rsidRPr="00E93BA2" w:rsidRDefault="00E93BA2" w:rsidP="00E93BA2">
                  <w:pPr>
                    <w:autoSpaceDE w:val="0"/>
                    <w:autoSpaceDN w:val="0"/>
                    <w:adjustRightInd w:val="0"/>
                    <w:spacing w:after="0" w:line="240" w:lineRule="auto"/>
                    <w:jc w:val="center"/>
                    <w:rPr>
                      <w:rFonts w:ascii="Times New Roman" w:hAnsi="Times New Roman" w:cs="Times New Roman"/>
                      <w:bCs/>
                      <w:color w:val="000000"/>
                      <w:sz w:val="14"/>
                      <w:szCs w:val="14"/>
                    </w:rPr>
                  </w:pPr>
                  <w:r w:rsidRPr="00E93BA2">
                    <w:rPr>
                      <w:rFonts w:ascii="Times New Roman" w:hAnsi="Times New Roman" w:cs="Times New Roman"/>
                      <w:bCs/>
                      <w:color w:val="000000"/>
                      <w:sz w:val="14"/>
                      <w:szCs w:val="14"/>
                    </w:rPr>
                    <w:t>6</w:t>
                  </w:r>
                </w:p>
              </w:tc>
              <w:tc>
                <w:tcPr>
                  <w:tcW w:w="2135" w:type="dxa"/>
                  <w:vAlign w:val="center"/>
                </w:tcPr>
                <w:p w:rsidR="00E93BA2" w:rsidRPr="00E93BA2" w:rsidRDefault="00E93BA2" w:rsidP="00E93BA2">
                  <w:pPr>
                    <w:autoSpaceDE w:val="0"/>
                    <w:autoSpaceDN w:val="0"/>
                    <w:adjustRightInd w:val="0"/>
                    <w:spacing w:after="0" w:line="240" w:lineRule="auto"/>
                    <w:jc w:val="center"/>
                    <w:rPr>
                      <w:rFonts w:ascii="Times New Roman" w:hAnsi="Times New Roman" w:cs="Times New Roman"/>
                      <w:bCs/>
                      <w:color w:val="000000"/>
                      <w:sz w:val="14"/>
                      <w:szCs w:val="14"/>
                    </w:rPr>
                  </w:pPr>
                  <w:r w:rsidRPr="00E93BA2">
                    <w:rPr>
                      <w:rFonts w:ascii="Times New Roman" w:hAnsi="Times New Roman" w:cs="Times New Roman"/>
                      <w:bCs/>
                      <w:color w:val="000000"/>
                      <w:sz w:val="14"/>
                      <w:szCs w:val="14"/>
                    </w:rPr>
                    <w:t>59,604</w:t>
                  </w:r>
                </w:p>
              </w:tc>
              <w:tc>
                <w:tcPr>
                  <w:tcW w:w="928" w:type="dxa"/>
                  <w:vAlign w:val="center"/>
                </w:tcPr>
                <w:p w:rsidR="00E93BA2" w:rsidRPr="00E93BA2" w:rsidRDefault="00E93BA2" w:rsidP="00E93BA2">
                  <w:pPr>
                    <w:autoSpaceDE w:val="0"/>
                    <w:autoSpaceDN w:val="0"/>
                    <w:adjustRightInd w:val="0"/>
                    <w:spacing w:after="0" w:line="240" w:lineRule="auto"/>
                    <w:jc w:val="center"/>
                    <w:rPr>
                      <w:rFonts w:ascii="Times New Roman" w:hAnsi="Times New Roman" w:cs="Times New Roman"/>
                      <w:bCs/>
                      <w:color w:val="000000"/>
                      <w:sz w:val="14"/>
                      <w:szCs w:val="14"/>
                    </w:rPr>
                  </w:pPr>
                  <w:r w:rsidRPr="00E93BA2">
                    <w:rPr>
                      <w:rFonts w:ascii="Times New Roman" w:hAnsi="Times New Roman" w:cs="Times New Roman"/>
                      <w:bCs/>
                      <w:color w:val="000000"/>
                      <w:sz w:val="14"/>
                      <w:szCs w:val="14"/>
                    </w:rPr>
                    <w:t>7.54%</w:t>
                  </w:r>
                </w:p>
              </w:tc>
            </w:tr>
            <w:tr w:rsidR="00E93BA2" w:rsidRPr="000C45C8" w:rsidTr="005266FC">
              <w:trPr>
                <w:trHeight w:val="312"/>
              </w:trPr>
              <w:tc>
                <w:tcPr>
                  <w:tcW w:w="1485" w:type="dxa"/>
                  <w:shd w:val="clear" w:color="auto" w:fill="auto"/>
                  <w:noWrap/>
                  <w:vAlign w:val="center"/>
                  <w:hideMark/>
                </w:tcPr>
                <w:p w:rsidR="00E93BA2" w:rsidRPr="00E93BA2" w:rsidRDefault="00E93BA2" w:rsidP="00E93BA2">
                  <w:pPr>
                    <w:autoSpaceDE w:val="0"/>
                    <w:autoSpaceDN w:val="0"/>
                    <w:adjustRightInd w:val="0"/>
                    <w:spacing w:after="0" w:line="240" w:lineRule="auto"/>
                    <w:jc w:val="center"/>
                    <w:rPr>
                      <w:rFonts w:ascii="Times New Roman" w:hAnsi="Times New Roman" w:cs="Times New Roman"/>
                      <w:b/>
                      <w:bCs/>
                      <w:color w:val="000000"/>
                      <w:sz w:val="14"/>
                      <w:szCs w:val="14"/>
                    </w:rPr>
                  </w:pPr>
                  <w:r w:rsidRPr="00E93BA2">
                    <w:rPr>
                      <w:rFonts w:ascii="Times New Roman" w:hAnsi="Times New Roman" w:cs="Times New Roman"/>
                      <w:b/>
                      <w:bCs/>
                      <w:color w:val="000000"/>
                      <w:sz w:val="14"/>
                      <w:szCs w:val="14"/>
                    </w:rPr>
                    <w:t>Materials</w:t>
                  </w:r>
                </w:p>
              </w:tc>
              <w:tc>
                <w:tcPr>
                  <w:tcW w:w="1228" w:type="dxa"/>
                  <w:shd w:val="clear" w:color="auto" w:fill="auto"/>
                  <w:noWrap/>
                  <w:vAlign w:val="center"/>
                  <w:hideMark/>
                </w:tcPr>
                <w:p w:rsidR="00E93BA2" w:rsidRPr="00E93BA2" w:rsidRDefault="00E93BA2" w:rsidP="00E93BA2">
                  <w:pPr>
                    <w:autoSpaceDE w:val="0"/>
                    <w:autoSpaceDN w:val="0"/>
                    <w:adjustRightInd w:val="0"/>
                    <w:spacing w:after="0" w:line="240" w:lineRule="auto"/>
                    <w:jc w:val="center"/>
                    <w:rPr>
                      <w:rFonts w:ascii="Times New Roman" w:hAnsi="Times New Roman" w:cs="Times New Roman"/>
                      <w:bCs/>
                      <w:color w:val="000000"/>
                      <w:sz w:val="14"/>
                      <w:szCs w:val="14"/>
                    </w:rPr>
                  </w:pPr>
                  <w:r w:rsidRPr="00E93BA2">
                    <w:rPr>
                      <w:rFonts w:ascii="Times New Roman" w:hAnsi="Times New Roman" w:cs="Times New Roman"/>
                      <w:bCs/>
                      <w:color w:val="000000"/>
                      <w:sz w:val="14"/>
                      <w:szCs w:val="14"/>
                    </w:rPr>
                    <w:t>2</w:t>
                  </w:r>
                </w:p>
              </w:tc>
              <w:tc>
                <w:tcPr>
                  <w:tcW w:w="2135" w:type="dxa"/>
                  <w:vAlign w:val="center"/>
                </w:tcPr>
                <w:p w:rsidR="00E93BA2" w:rsidRPr="00E93BA2" w:rsidRDefault="00E93BA2" w:rsidP="00E93BA2">
                  <w:pPr>
                    <w:autoSpaceDE w:val="0"/>
                    <w:autoSpaceDN w:val="0"/>
                    <w:adjustRightInd w:val="0"/>
                    <w:spacing w:after="0" w:line="240" w:lineRule="auto"/>
                    <w:jc w:val="center"/>
                    <w:rPr>
                      <w:rFonts w:ascii="Times New Roman" w:hAnsi="Times New Roman" w:cs="Times New Roman"/>
                      <w:bCs/>
                      <w:color w:val="000000"/>
                      <w:sz w:val="14"/>
                      <w:szCs w:val="14"/>
                    </w:rPr>
                  </w:pPr>
                  <w:r w:rsidRPr="00E93BA2">
                    <w:rPr>
                      <w:rFonts w:ascii="Times New Roman" w:hAnsi="Times New Roman" w:cs="Times New Roman"/>
                      <w:bCs/>
                      <w:color w:val="000000"/>
                      <w:sz w:val="14"/>
                      <w:szCs w:val="14"/>
                    </w:rPr>
                    <w:t>43,701</w:t>
                  </w:r>
                </w:p>
              </w:tc>
              <w:tc>
                <w:tcPr>
                  <w:tcW w:w="928" w:type="dxa"/>
                  <w:vAlign w:val="center"/>
                </w:tcPr>
                <w:p w:rsidR="00E93BA2" w:rsidRPr="00E93BA2" w:rsidRDefault="00E93BA2" w:rsidP="00E93BA2">
                  <w:pPr>
                    <w:autoSpaceDE w:val="0"/>
                    <w:autoSpaceDN w:val="0"/>
                    <w:adjustRightInd w:val="0"/>
                    <w:spacing w:after="0" w:line="240" w:lineRule="auto"/>
                    <w:jc w:val="center"/>
                    <w:rPr>
                      <w:rFonts w:ascii="Times New Roman" w:hAnsi="Times New Roman" w:cs="Times New Roman"/>
                      <w:bCs/>
                      <w:color w:val="000000"/>
                      <w:sz w:val="14"/>
                      <w:szCs w:val="14"/>
                    </w:rPr>
                  </w:pPr>
                  <w:r w:rsidRPr="00E93BA2">
                    <w:rPr>
                      <w:rFonts w:ascii="Times New Roman" w:hAnsi="Times New Roman" w:cs="Times New Roman"/>
                      <w:bCs/>
                      <w:color w:val="000000"/>
                      <w:sz w:val="14"/>
                      <w:szCs w:val="14"/>
                    </w:rPr>
                    <w:t>5.53%</w:t>
                  </w:r>
                </w:p>
              </w:tc>
            </w:tr>
          </w:tbl>
          <w:p w:rsidR="00FA53D4" w:rsidRDefault="00FA53D4" w:rsidP="005266FC">
            <w:pPr>
              <w:tabs>
                <w:tab w:val="left" w:pos="4677"/>
              </w:tabs>
              <w:rPr>
                <w:rFonts w:ascii="Times New Roman" w:eastAsia="Times New Roman" w:hAnsi="Times New Roman" w:cs="Times New Roman"/>
                <w:b/>
                <w:color w:val="FFFFFF" w:themeColor="background1"/>
                <w:szCs w:val="12"/>
              </w:rPr>
            </w:pPr>
          </w:p>
          <w:p w:rsidR="00FA53D4" w:rsidRDefault="00FA53D4" w:rsidP="005266FC">
            <w:pPr>
              <w:tabs>
                <w:tab w:val="left" w:pos="4677"/>
              </w:tabs>
              <w:rPr>
                <w:rFonts w:ascii="Times New Roman" w:eastAsia="Times New Roman" w:hAnsi="Times New Roman" w:cs="Times New Roman"/>
                <w:b/>
                <w:color w:val="FFFFFF" w:themeColor="background1"/>
                <w:szCs w:val="12"/>
              </w:rPr>
            </w:pPr>
          </w:p>
          <w:p w:rsidR="00FA53D4" w:rsidRDefault="00FA53D4" w:rsidP="005266FC">
            <w:pPr>
              <w:tabs>
                <w:tab w:val="left" w:pos="4677"/>
              </w:tabs>
              <w:rPr>
                <w:rFonts w:ascii="Times New Roman" w:eastAsia="Times New Roman" w:hAnsi="Times New Roman" w:cs="Times New Roman"/>
                <w:b/>
                <w:color w:val="FFFFFF" w:themeColor="background1"/>
                <w:szCs w:val="12"/>
              </w:rPr>
            </w:pPr>
          </w:p>
          <w:p w:rsidR="00FA53D4" w:rsidRDefault="00FA53D4" w:rsidP="005266FC">
            <w:pPr>
              <w:tabs>
                <w:tab w:val="left" w:pos="4677"/>
              </w:tabs>
              <w:rPr>
                <w:rFonts w:ascii="Times New Roman" w:eastAsia="Times New Roman" w:hAnsi="Times New Roman" w:cs="Times New Roman"/>
                <w:b/>
                <w:color w:val="FFFFFF" w:themeColor="background1"/>
                <w:szCs w:val="12"/>
              </w:rPr>
            </w:pPr>
          </w:p>
          <w:p w:rsidR="00FA53D4" w:rsidRDefault="00FA53D4" w:rsidP="005266FC">
            <w:pPr>
              <w:tabs>
                <w:tab w:val="left" w:pos="4677"/>
              </w:tabs>
              <w:rPr>
                <w:rFonts w:ascii="Times New Roman" w:eastAsia="Times New Roman" w:hAnsi="Times New Roman" w:cs="Times New Roman"/>
                <w:b/>
                <w:color w:val="FFFFFF" w:themeColor="background1"/>
                <w:szCs w:val="12"/>
              </w:rPr>
            </w:pPr>
          </w:p>
          <w:p w:rsidR="00FA53D4" w:rsidRPr="0006583E" w:rsidRDefault="00FA53D4" w:rsidP="005266FC">
            <w:pPr>
              <w:tabs>
                <w:tab w:val="left" w:pos="4677"/>
              </w:tabs>
              <w:rPr>
                <w:rFonts w:ascii="Times New Roman" w:eastAsia="Times New Roman" w:hAnsi="Times New Roman" w:cs="Times New Roman"/>
                <w:b/>
                <w:color w:val="FFFFFF" w:themeColor="background1"/>
                <w:szCs w:val="12"/>
              </w:rPr>
            </w:pPr>
            <w:r>
              <w:rPr>
                <w:rFonts w:ascii="Times New Roman" w:eastAsia="Times New Roman" w:hAnsi="Times New Roman" w:cs="Times New Roman"/>
                <w:b/>
                <w:color w:val="FFFFFF" w:themeColor="background1"/>
                <w:szCs w:val="12"/>
              </w:rPr>
              <w:tab/>
            </w:r>
          </w:p>
        </w:tc>
        <w:tc>
          <w:tcPr>
            <w:tcW w:w="5637" w:type="dxa"/>
            <w:gridSpan w:val="6"/>
            <w:vMerge/>
          </w:tcPr>
          <w:p w:rsidR="00FA53D4" w:rsidRPr="006D2F55" w:rsidRDefault="00FA53D4" w:rsidP="005266FC">
            <w:pPr>
              <w:jc w:val="center"/>
              <w:rPr>
                <w:rFonts w:ascii="Arial" w:eastAsia="Times New Roman" w:hAnsi="Arial" w:cs="Arial"/>
              </w:rPr>
            </w:pPr>
          </w:p>
        </w:tc>
      </w:tr>
      <w:tr w:rsidR="00FA53D4" w:rsidRPr="006D2F55" w:rsidTr="00474BB6">
        <w:trPr>
          <w:gridAfter w:val="2"/>
          <w:wAfter w:w="106" w:type="dxa"/>
          <w:trHeight w:val="575"/>
          <w:jc w:val="center"/>
        </w:trPr>
        <w:tc>
          <w:tcPr>
            <w:tcW w:w="5663" w:type="dxa"/>
            <w:gridSpan w:val="3"/>
            <w:shd w:val="clear" w:color="auto" w:fill="0070C0"/>
            <w:vAlign w:val="center"/>
          </w:tcPr>
          <w:p w:rsidR="00FA53D4" w:rsidRPr="006D2F55" w:rsidRDefault="00FA53D4" w:rsidP="005266FC">
            <w:pPr>
              <w:rPr>
                <w:rFonts w:ascii="Times New Roman" w:hAnsi="Times New Roman" w:cs="Times New Roman"/>
                <w:b/>
                <w:color w:val="FFFFFF" w:themeColor="background1"/>
                <w:sz w:val="52"/>
                <w:szCs w:val="52"/>
              </w:rPr>
            </w:pPr>
            <w:proofErr w:type="spellStart"/>
            <w:r>
              <w:rPr>
                <w:rFonts w:ascii="Times New Roman" w:hAnsi="Times New Roman" w:cs="Times New Roman"/>
                <w:b/>
                <w:color w:val="FFFFFF" w:themeColor="background1"/>
                <w:sz w:val="44"/>
                <w:szCs w:val="52"/>
              </w:rPr>
              <w:lastRenderedPageBreak/>
              <w:t>VNMidcap</w:t>
            </w:r>
            <w:proofErr w:type="spellEnd"/>
            <w:r>
              <w:rPr>
                <w:rFonts w:ascii="Times New Roman" w:hAnsi="Times New Roman" w:cs="Times New Roman"/>
                <w:b/>
                <w:color w:val="FFFFFF" w:themeColor="background1"/>
                <w:sz w:val="44"/>
                <w:szCs w:val="52"/>
              </w:rPr>
              <w:t xml:space="preserve"> Index</w:t>
            </w:r>
          </w:p>
        </w:tc>
        <w:tc>
          <w:tcPr>
            <w:tcW w:w="5492" w:type="dxa"/>
            <w:gridSpan w:val="4"/>
            <w:shd w:val="clear" w:color="auto" w:fill="0070C0"/>
            <w:vAlign w:val="bottom"/>
          </w:tcPr>
          <w:p w:rsidR="00FA53D4" w:rsidRPr="00D6169B" w:rsidRDefault="00FA53D4" w:rsidP="005266FC">
            <w:pPr>
              <w:spacing w:after="120"/>
              <w:jc w:val="right"/>
              <w:rPr>
                <w:rFonts w:ascii="Times New Roman" w:eastAsia="Times New Roman" w:hAnsi="Times New Roman" w:cs="Times New Roman"/>
                <w:b/>
                <w:color w:val="FFFFFF" w:themeColor="background1"/>
                <w:sz w:val="18"/>
                <w:szCs w:val="18"/>
              </w:rPr>
            </w:pPr>
            <w:r w:rsidRPr="00D6169B">
              <w:rPr>
                <w:rFonts w:ascii="Times New Roman" w:eastAsia="Times New Roman" w:hAnsi="Times New Roman" w:cs="Times New Roman"/>
                <w:b/>
                <w:color w:val="FFFFFF" w:themeColor="background1"/>
                <w:sz w:val="18"/>
                <w:szCs w:val="18"/>
              </w:rPr>
              <w:t xml:space="preserve">Data as at: </w:t>
            </w:r>
            <w:r w:rsidR="00E93BA2">
              <w:rPr>
                <w:rFonts w:ascii="Times New Roman" w:eastAsia="Times New Roman" w:hAnsi="Times New Roman" w:cs="Times New Roman"/>
                <w:b/>
                <w:color w:val="FFFFFF" w:themeColor="background1"/>
                <w:sz w:val="18"/>
                <w:szCs w:val="18"/>
              </w:rPr>
              <w:t>31</w:t>
            </w:r>
            <w:r w:rsidR="00F5321A">
              <w:rPr>
                <w:rFonts w:ascii="Times New Roman" w:eastAsia="Times New Roman" w:hAnsi="Times New Roman" w:cs="Times New Roman"/>
                <w:b/>
                <w:color w:val="FFFFFF" w:themeColor="background1"/>
                <w:sz w:val="18"/>
                <w:szCs w:val="18"/>
              </w:rPr>
              <w:t xml:space="preserve"> </w:t>
            </w:r>
            <w:r w:rsidR="00E93BA2">
              <w:rPr>
                <w:rFonts w:ascii="Times New Roman" w:eastAsia="Times New Roman" w:hAnsi="Times New Roman" w:cs="Times New Roman"/>
                <w:b/>
                <w:color w:val="FFFFFF" w:themeColor="background1"/>
                <w:sz w:val="18"/>
                <w:szCs w:val="18"/>
              </w:rPr>
              <w:t>May</w:t>
            </w:r>
            <w:r>
              <w:rPr>
                <w:rFonts w:ascii="Times New Roman" w:eastAsia="Times New Roman" w:hAnsi="Times New Roman" w:cs="Times New Roman"/>
                <w:b/>
                <w:color w:val="FFFFFF" w:themeColor="background1"/>
                <w:sz w:val="18"/>
                <w:szCs w:val="18"/>
              </w:rPr>
              <w:t xml:space="preserve"> 2019</w:t>
            </w:r>
          </w:p>
        </w:tc>
      </w:tr>
      <w:tr w:rsidR="00FA53D4" w:rsidRPr="006D2F55" w:rsidTr="00474BB6">
        <w:trPr>
          <w:gridAfter w:val="1"/>
          <w:wAfter w:w="49" w:type="dxa"/>
          <w:trHeight w:hRule="exact" w:val="447"/>
          <w:jc w:val="center"/>
        </w:trPr>
        <w:tc>
          <w:tcPr>
            <w:tcW w:w="11212" w:type="dxa"/>
            <w:gridSpan w:val="8"/>
            <w:vAlign w:val="center"/>
          </w:tcPr>
          <w:p w:rsidR="00FA53D4" w:rsidRPr="00771075" w:rsidRDefault="00FA53D4" w:rsidP="005266FC">
            <w:pPr>
              <w:jc w:val="both"/>
              <w:rPr>
                <w:rFonts w:ascii="Times New Roman" w:hAnsi="Times New Roman" w:cs="Times New Roman"/>
                <w:sz w:val="16"/>
                <w:szCs w:val="16"/>
              </w:rPr>
            </w:pPr>
            <w:proofErr w:type="spellStart"/>
            <w:r w:rsidRPr="001704E5">
              <w:rPr>
                <w:rFonts w:ascii="Times New Roman" w:hAnsi="Times New Roman" w:cs="Times New Roman"/>
                <w:b/>
                <w:sz w:val="16"/>
                <w:szCs w:val="16"/>
              </w:rPr>
              <w:t>VNMidcap</w:t>
            </w:r>
            <w:proofErr w:type="spellEnd"/>
            <w:r w:rsidRPr="001704E5">
              <w:rPr>
                <w:rFonts w:ascii="Times New Roman" w:hAnsi="Times New Roman" w:cs="Times New Roman"/>
                <w:b/>
                <w:sz w:val="16"/>
                <w:szCs w:val="16"/>
              </w:rPr>
              <w:t xml:space="preserve"> </w:t>
            </w:r>
            <w:r w:rsidRPr="001704E5">
              <w:rPr>
                <w:rFonts w:ascii="Times New Roman" w:hAnsi="Times New Roman" w:cs="Times New Roman"/>
                <w:sz w:val="16"/>
                <w:szCs w:val="16"/>
              </w:rPr>
              <w:t>is a market-capitalization weighted index</w:t>
            </w:r>
            <w:r>
              <w:rPr>
                <w:rFonts w:ascii="Times New Roman" w:hAnsi="Times New Roman" w:cs="Times New Roman"/>
                <w:sz w:val="16"/>
                <w:szCs w:val="16"/>
              </w:rPr>
              <w:t xml:space="preserve"> which</w:t>
            </w:r>
            <w:r w:rsidRPr="001704E5">
              <w:rPr>
                <w:rFonts w:ascii="Times New Roman" w:hAnsi="Times New Roman" w:cs="Times New Roman"/>
                <w:sz w:val="16"/>
                <w:szCs w:val="16"/>
              </w:rPr>
              <w:t xml:space="preserve"> measure</w:t>
            </w:r>
            <w:r>
              <w:rPr>
                <w:rFonts w:ascii="Times New Roman" w:hAnsi="Times New Roman" w:cs="Times New Roman"/>
                <w:sz w:val="16"/>
                <w:szCs w:val="16"/>
              </w:rPr>
              <w:t>s</w:t>
            </w:r>
            <w:r w:rsidRPr="001704E5">
              <w:rPr>
                <w:rFonts w:ascii="Times New Roman" w:hAnsi="Times New Roman" w:cs="Times New Roman"/>
                <w:sz w:val="16"/>
                <w:szCs w:val="16"/>
              </w:rPr>
              <w:t xml:space="preserve"> the performance of 70 medium market-capitalization</w:t>
            </w:r>
            <w:r>
              <w:rPr>
                <w:rFonts w:ascii="Times New Roman" w:hAnsi="Times New Roman" w:cs="Times New Roman"/>
                <w:sz w:val="16"/>
                <w:szCs w:val="16"/>
              </w:rPr>
              <w:t xml:space="preserve"> </w:t>
            </w:r>
            <w:r w:rsidRPr="001704E5">
              <w:rPr>
                <w:rFonts w:ascii="Times New Roman" w:hAnsi="Times New Roman" w:cs="Times New Roman"/>
                <w:sz w:val="16"/>
                <w:szCs w:val="16"/>
              </w:rPr>
              <w:t>companies</w:t>
            </w:r>
            <w:r>
              <w:rPr>
                <w:rFonts w:ascii="Times New Roman" w:hAnsi="Times New Roman" w:cs="Times New Roman"/>
                <w:sz w:val="16"/>
                <w:szCs w:val="16"/>
              </w:rPr>
              <w:t xml:space="preserve"> from </w:t>
            </w:r>
            <w:proofErr w:type="spellStart"/>
            <w:r w:rsidRPr="001704E5">
              <w:rPr>
                <w:rFonts w:ascii="Times New Roman" w:hAnsi="Times New Roman" w:cs="Times New Roman"/>
                <w:sz w:val="16"/>
                <w:szCs w:val="16"/>
              </w:rPr>
              <w:t>VNAllshare</w:t>
            </w:r>
            <w:proofErr w:type="spellEnd"/>
            <w:r w:rsidRPr="001704E5">
              <w:rPr>
                <w:rFonts w:ascii="Times New Roman" w:hAnsi="Times New Roman" w:cs="Times New Roman"/>
                <w:sz w:val="16"/>
                <w:szCs w:val="16"/>
              </w:rPr>
              <w:t>.</w:t>
            </w:r>
          </w:p>
        </w:tc>
      </w:tr>
      <w:tr w:rsidR="00FA53D4" w:rsidRPr="006D2F55" w:rsidTr="00474BB6">
        <w:trPr>
          <w:trHeight w:hRule="exact" w:val="302"/>
          <w:jc w:val="center"/>
        </w:trPr>
        <w:tc>
          <w:tcPr>
            <w:tcW w:w="5575" w:type="dxa"/>
            <w:gridSpan w:val="2"/>
            <w:shd w:val="clear" w:color="auto" w:fill="0070C0"/>
            <w:vAlign w:val="center"/>
          </w:tcPr>
          <w:p w:rsidR="00FA53D4" w:rsidRPr="006D2F55" w:rsidRDefault="00FA53D4" w:rsidP="005266FC">
            <w:pPr>
              <w:tabs>
                <w:tab w:val="center" w:pos="2700"/>
                <w:tab w:val="left" w:pos="4236"/>
              </w:tabs>
              <w:rPr>
                <w:rFonts w:ascii="Times New Roman" w:hAnsi="Times New Roman" w:cs="Times New Roman"/>
              </w:rPr>
            </w:pPr>
            <w:r>
              <w:rPr>
                <w:rFonts w:ascii="Times New Roman" w:hAnsi="Times New Roman" w:cs="Times New Roman"/>
                <w:b/>
                <w:color w:val="FFFFFF" w:themeColor="background1"/>
              </w:rPr>
              <w:t>Index Characteristics</w:t>
            </w:r>
          </w:p>
        </w:tc>
        <w:tc>
          <w:tcPr>
            <w:tcW w:w="250" w:type="dxa"/>
            <w:gridSpan w:val="3"/>
            <w:shd w:val="clear" w:color="auto" w:fill="auto"/>
            <w:vAlign w:val="center"/>
          </w:tcPr>
          <w:p w:rsidR="00FA53D4" w:rsidRPr="006D2F55" w:rsidRDefault="00FA53D4" w:rsidP="005266FC">
            <w:pPr>
              <w:jc w:val="center"/>
              <w:rPr>
                <w:rFonts w:ascii="Times New Roman" w:hAnsi="Times New Roman" w:cs="Times New Roman"/>
              </w:rPr>
            </w:pPr>
          </w:p>
        </w:tc>
        <w:tc>
          <w:tcPr>
            <w:tcW w:w="5436" w:type="dxa"/>
            <w:gridSpan w:val="4"/>
            <w:shd w:val="clear" w:color="auto" w:fill="0070C0"/>
            <w:vAlign w:val="center"/>
          </w:tcPr>
          <w:p w:rsidR="00FA53D4" w:rsidRPr="006D2F55" w:rsidRDefault="00FA53D4" w:rsidP="005266FC">
            <w:pPr>
              <w:rPr>
                <w:rFonts w:ascii="Times New Roman" w:hAnsi="Times New Roman" w:cs="Times New Roman"/>
                <w:b/>
                <w:color w:val="FFFFFF" w:themeColor="background1"/>
              </w:rPr>
            </w:pPr>
            <w:r>
              <w:rPr>
                <w:rFonts w:ascii="Times New Roman" w:hAnsi="Times New Roman" w:cs="Times New Roman"/>
                <w:b/>
                <w:color w:val="FFFFFF" w:themeColor="background1"/>
              </w:rPr>
              <w:t>Information</w:t>
            </w:r>
          </w:p>
        </w:tc>
      </w:tr>
      <w:tr w:rsidR="00FA53D4" w:rsidRPr="006D2F55" w:rsidTr="00474BB6">
        <w:trPr>
          <w:gridAfter w:val="1"/>
          <w:wAfter w:w="49" w:type="dxa"/>
          <w:trHeight w:hRule="exact" w:val="2134"/>
          <w:jc w:val="center"/>
        </w:trPr>
        <w:tc>
          <w:tcPr>
            <w:tcW w:w="5776" w:type="dxa"/>
            <w:gridSpan w:val="4"/>
          </w:tcPr>
          <w:tbl>
            <w:tblPr>
              <w:tblStyle w:val="LightList-Accent5"/>
              <w:tblpPr w:leftFromText="180" w:rightFromText="180" w:vertAnchor="page" w:horzAnchor="margin" w:tblpXSpec="center" w:tblpY="1"/>
              <w:tblOverlap w:val="never"/>
              <w:tblW w:w="17720" w:type="dxa"/>
              <w:tblBorders>
                <w:top w:val="single" w:sz="8" w:space="0" w:color="0070C0"/>
                <w:left w:val="none" w:sz="0" w:space="0" w:color="auto"/>
                <w:bottom w:val="single" w:sz="8" w:space="0" w:color="0070C0"/>
                <w:right w:val="none" w:sz="0" w:space="0" w:color="auto"/>
                <w:insideH w:val="single" w:sz="8" w:space="0" w:color="0070C0"/>
              </w:tblBorders>
              <w:tblLayout w:type="fixed"/>
              <w:tblLook w:val="04A0" w:firstRow="1" w:lastRow="0" w:firstColumn="1" w:lastColumn="0" w:noHBand="0" w:noVBand="1"/>
            </w:tblPr>
            <w:tblGrid>
              <w:gridCol w:w="4475"/>
              <w:gridCol w:w="1285"/>
              <w:gridCol w:w="1285"/>
              <w:gridCol w:w="1285"/>
              <w:gridCol w:w="1285"/>
              <w:gridCol w:w="1285"/>
              <w:gridCol w:w="1705"/>
              <w:gridCol w:w="1705"/>
              <w:gridCol w:w="1705"/>
              <w:gridCol w:w="1705"/>
            </w:tblGrid>
            <w:tr w:rsidR="00E93BA2" w:rsidRPr="00301A9C" w:rsidTr="00695609">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492492" w:rsidRDefault="00E93BA2" w:rsidP="00E93BA2">
                  <w:pPr>
                    <w:rPr>
                      <w:rFonts w:ascii="Times New Roman" w:eastAsia="Times New Roman" w:hAnsi="Times New Roman" w:cs="Times New Roman"/>
                      <w:color w:val="auto"/>
                      <w:sz w:val="16"/>
                      <w:szCs w:val="16"/>
                    </w:rPr>
                  </w:pPr>
                  <w:r w:rsidRPr="00492492">
                    <w:rPr>
                      <w:rFonts w:ascii="Times New Roman" w:eastAsia="Times New Roman" w:hAnsi="Times New Roman" w:cs="Times New Roman"/>
                      <w:color w:val="auto"/>
                      <w:sz w:val="16"/>
                      <w:szCs w:val="16"/>
                    </w:rPr>
                    <w:t>Number of Constituents</w:t>
                  </w:r>
                </w:p>
              </w:tc>
              <w:tc>
                <w:tcPr>
                  <w:tcW w:w="1285" w:type="dxa"/>
                  <w:vAlign w:val="bottom"/>
                </w:tcPr>
                <w:p w:rsidR="00E93BA2" w:rsidRPr="00101F18"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01F18">
                    <w:rPr>
                      <w:rFonts w:ascii="Times New Roman" w:hAnsi="Times New Roman" w:cs="Times New Roman"/>
                      <w:color w:val="000000"/>
                      <w:sz w:val="16"/>
                      <w:szCs w:val="16"/>
                    </w:rPr>
                    <w:t>70</w:t>
                  </w:r>
                </w:p>
              </w:tc>
              <w:tc>
                <w:tcPr>
                  <w:tcW w:w="1285" w:type="dxa"/>
                  <w:vAlign w:val="bottom"/>
                </w:tcPr>
                <w:p w:rsidR="00E93BA2" w:rsidRPr="00EC68C3"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EC68C3">
                    <w:rPr>
                      <w:rFonts w:ascii="Times New Roman" w:hAnsi="Times New Roman" w:cs="Times New Roman"/>
                      <w:color w:val="000000"/>
                      <w:sz w:val="16"/>
                      <w:szCs w:val="16"/>
                    </w:rPr>
                    <w:t>70</w:t>
                  </w:r>
                </w:p>
              </w:tc>
              <w:tc>
                <w:tcPr>
                  <w:tcW w:w="1285" w:type="dxa"/>
                  <w:shd w:val="clear" w:color="auto" w:fill="auto"/>
                </w:tcPr>
                <w:p w:rsidR="00E93BA2"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70</w:t>
                  </w:r>
                </w:p>
              </w:tc>
              <w:tc>
                <w:tcPr>
                  <w:tcW w:w="1285" w:type="dxa"/>
                  <w:shd w:val="clear" w:color="auto" w:fill="auto"/>
                </w:tcPr>
                <w:p w:rsidR="00E93BA2"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70</w:t>
                  </w:r>
                </w:p>
              </w:tc>
              <w:tc>
                <w:tcPr>
                  <w:tcW w:w="1285" w:type="dxa"/>
                  <w:shd w:val="clear" w:color="auto" w:fill="auto"/>
                  <w:vAlign w:val="center"/>
                </w:tcPr>
                <w:p w:rsidR="00E93BA2"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70</w:t>
                  </w:r>
                </w:p>
              </w:tc>
              <w:tc>
                <w:tcPr>
                  <w:tcW w:w="1705" w:type="dxa"/>
                  <w:shd w:val="clear" w:color="auto" w:fill="auto"/>
                  <w:vAlign w:val="center"/>
                </w:tcPr>
                <w:p w:rsidR="00E93BA2" w:rsidRPr="00DD52F7"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DD52F7">
                    <w:rPr>
                      <w:rFonts w:ascii="Times New Roman" w:hAnsi="Times New Roman" w:cs="Times New Roman"/>
                      <w:b w:val="0"/>
                      <w:color w:val="000000"/>
                      <w:sz w:val="16"/>
                      <w:szCs w:val="16"/>
                    </w:rPr>
                    <w:t>70</w:t>
                  </w:r>
                </w:p>
              </w:tc>
              <w:tc>
                <w:tcPr>
                  <w:tcW w:w="1705" w:type="dxa"/>
                  <w:shd w:val="clear" w:color="auto" w:fill="auto"/>
                  <w:vAlign w:val="center"/>
                </w:tcPr>
                <w:p w:rsidR="00E93BA2" w:rsidRPr="00F44E48"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F44E48">
                    <w:rPr>
                      <w:rFonts w:ascii="Times New Roman" w:hAnsi="Times New Roman" w:cs="Times New Roman"/>
                      <w:b w:val="0"/>
                      <w:color w:val="000000"/>
                      <w:sz w:val="16"/>
                      <w:szCs w:val="16"/>
                    </w:rPr>
                    <w:t>70</w:t>
                  </w:r>
                </w:p>
              </w:tc>
              <w:tc>
                <w:tcPr>
                  <w:tcW w:w="1705" w:type="dxa"/>
                  <w:shd w:val="clear" w:color="auto" w:fill="auto"/>
                  <w:vAlign w:val="center"/>
                </w:tcPr>
                <w:p w:rsidR="00E93BA2" w:rsidRPr="006F1615"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6F1615">
                    <w:rPr>
                      <w:rFonts w:ascii="Times New Roman" w:hAnsi="Times New Roman" w:cs="Times New Roman"/>
                      <w:b w:val="0"/>
                      <w:color w:val="000000"/>
                      <w:sz w:val="16"/>
                      <w:szCs w:val="16"/>
                    </w:rPr>
                    <w:t>70</w:t>
                  </w:r>
                </w:p>
              </w:tc>
              <w:tc>
                <w:tcPr>
                  <w:tcW w:w="1705" w:type="dxa"/>
                  <w:shd w:val="clear" w:color="auto" w:fill="auto"/>
                  <w:vAlign w:val="center"/>
                </w:tcPr>
                <w:p w:rsidR="00E93BA2" w:rsidRPr="00C30FA9" w:rsidRDefault="00E93BA2" w:rsidP="00E93BA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C30FA9">
                    <w:rPr>
                      <w:rFonts w:ascii="Times New Roman" w:hAnsi="Times New Roman" w:cs="Times New Roman"/>
                      <w:b w:val="0"/>
                      <w:color w:val="000000"/>
                      <w:sz w:val="16"/>
                      <w:szCs w:val="16"/>
                    </w:rPr>
                    <w:t>70</w:t>
                  </w:r>
                </w:p>
              </w:tc>
            </w:tr>
            <w:tr w:rsidR="00E93BA2" w:rsidRPr="00301A9C" w:rsidTr="0069560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F26A05" w:rsidRDefault="00E93BA2" w:rsidP="00E93BA2">
                  <w:pPr>
                    <w:rPr>
                      <w:rFonts w:ascii="Times New Roman" w:eastAsia="Times New Roman" w:hAnsi="Times New Roman" w:cs="Times New Roman"/>
                      <w:b w:val="0"/>
                      <w:sz w:val="16"/>
                      <w:szCs w:val="16"/>
                    </w:rPr>
                  </w:pPr>
                  <w:r w:rsidRPr="00F26A05">
                    <w:rPr>
                      <w:rFonts w:ascii="Times New Roman" w:eastAsia="Times New Roman" w:hAnsi="Times New Roman" w:cs="Times New Roman"/>
                      <w:sz w:val="16"/>
                      <w:szCs w:val="16"/>
                    </w:rPr>
                    <w:t xml:space="preserve">Full Market-Capitalization </w:t>
                  </w:r>
                  <w:r w:rsidRPr="006235F1">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Billion </w:t>
                  </w:r>
                  <w:r w:rsidRPr="006235F1">
                    <w:rPr>
                      <w:rFonts w:ascii="Times New Roman" w:eastAsia="Times New Roman" w:hAnsi="Times New Roman" w:cs="Times New Roman"/>
                      <w:sz w:val="16"/>
                      <w:szCs w:val="16"/>
                    </w:rPr>
                    <w:t>VND)</w:t>
                  </w:r>
                </w:p>
              </w:tc>
              <w:tc>
                <w:tcPr>
                  <w:tcW w:w="1285" w:type="dxa"/>
                  <w:vAlign w:val="bottom"/>
                </w:tcPr>
                <w:p w:rsidR="00E93BA2" w:rsidRPr="00101F18"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01F18">
                    <w:rPr>
                      <w:rFonts w:ascii="Times New Roman" w:hAnsi="Times New Roman" w:cs="Times New Roman"/>
                      <w:color w:val="000000"/>
                      <w:sz w:val="16"/>
                      <w:szCs w:val="16"/>
                    </w:rPr>
                    <w:t>295,667</w:t>
                  </w:r>
                </w:p>
              </w:tc>
              <w:tc>
                <w:tcPr>
                  <w:tcW w:w="1285" w:type="dxa"/>
                  <w:vAlign w:val="bottom"/>
                </w:tcPr>
                <w:p w:rsidR="00E93BA2" w:rsidRPr="0011453A"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299,624</w:t>
                  </w:r>
                </w:p>
              </w:tc>
              <w:tc>
                <w:tcPr>
                  <w:tcW w:w="128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304,034</w:t>
                  </w:r>
                </w:p>
              </w:tc>
              <w:tc>
                <w:tcPr>
                  <w:tcW w:w="128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257,279</w:t>
                  </w:r>
                </w:p>
              </w:tc>
              <w:tc>
                <w:tcPr>
                  <w:tcW w:w="1285" w:type="dxa"/>
                  <w:shd w:val="clear" w:color="auto" w:fill="auto"/>
                  <w:vAlign w:val="center"/>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190,984</w:t>
                  </w:r>
                </w:p>
              </w:tc>
              <w:tc>
                <w:tcPr>
                  <w:tcW w:w="1705" w:type="dxa"/>
                  <w:shd w:val="clear" w:color="auto" w:fill="auto"/>
                  <w:vAlign w:val="center"/>
                </w:tcPr>
                <w:p w:rsidR="00E93BA2" w:rsidRPr="00DD52F7"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DD52F7">
                    <w:rPr>
                      <w:rFonts w:ascii="Times New Roman" w:hAnsi="Times New Roman" w:cs="Times New Roman"/>
                      <w:color w:val="000000"/>
                      <w:sz w:val="16"/>
                      <w:szCs w:val="16"/>
                    </w:rPr>
                    <w:t>192,812</w:t>
                  </w:r>
                </w:p>
              </w:tc>
              <w:tc>
                <w:tcPr>
                  <w:tcW w:w="1705" w:type="dxa"/>
                  <w:shd w:val="clear" w:color="auto" w:fill="auto"/>
                  <w:vAlign w:val="center"/>
                </w:tcPr>
                <w:p w:rsidR="00E93BA2" w:rsidRPr="00F44E48"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44E48">
                    <w:rPr>
                      <w:rFonts w:ascii="Times New Roman" w:hAnsi="Times New Roman" w:cs="Times New Roman"/>
                      <w:color w:val="000000"/>
                      <w:sz w:val="16"/>
                      <w:szCs w:val="16"/>
                    </w:rPr>
                    <w:t>195,768</w:t>
                  </w:r>
                </w:p>
              </w:tc>
              <w:tc>
                <w:tcPr>
                  <w:tcW w:w="1705" w:type="dxa"/>
                  <w:shd w:val="clear" w:color="auto" w:fill="auto"/>
                  <w:vAlign w:val="center"/>
                </w:tcPr>
                <w:p w:rsidR="00E93BA2" w:rsidRPr="006F1615"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199,752</w:t>
                  </w:r>
                </w:p>
              </w:tc>
              <w:tc>
                <w:tcPr>
                  <w:tcW w:w="1705" w:type="dxa"/>
                  <w:shd w:val="clear" w:color="auto" w:fill="auto"/>
                  <w:vAlign w:val="center"/>
                </w:tcPr>
                <w:p w:rsidR="00E93BA2" w:rsidRPr="00C30FA9"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199,751,840,333</w:t>
                  </w:r>
                </w:p>
              </w:tc>
            </w:tr>
            <w:tr w:rsidR="00E93BA2" w:rsidRPr="00301A9C" w:rsidTr="00695609">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F26A05" w:rsidRDefault="00E93BA2" w:rsidP="00E93BA2">
                  <w:pPr>
                    <w:rPr>
                      <w:rFonts w:ascii="Times New Roman" w:eastAsia="Times New Roman" w:hAnsi="Times New Roman" w:cs="Times New Roman"/>
                      <w:sz w:val="16"/>
                      <w:szCs w:val="16"/>
                    </w:rPr>
                  </w:pPr>
                  <w:r>
                    <w:rPr>
                      <w:rFonts w:ascii="Times New Roman" w:eastAsia="Times New Roman" w:hAnsi="Times New Roman" w:cs="Times New Roman"/>
                      <w:sz w:val="16"/>
                      <w:szCs w:val="16"/>
                    </w:rPr>
                    <w:t>Free-</w:t>
                  </w:r>
                  <w:r w:rsidRPr="00F26A05">
                    <w:rPr>
                      <w:rFonts w:ascii="Times New Roman" w:eastAsia="Times New Roman" w:hAnsi="Times New Roman" w:cs="Times New Roman"/>
                      <w:sz w:val="16"/>
                      <w:szCs w:val="16"/>
                    </w:rPr>
                    <w:t xml:space="preserve">float adjusted Market-Capitalization </w:t>
                  </w:r>
                  <w:r w:rsidRPr="006235F1">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Billion </w:t>
                  </w:r>
                  <w:r w:rsidRPr="006235F1">
                    <w:rPr>
                      <w:rFonts w:ascii="Times New Roman" w:eastAsia="Times New Roman" w:hAnsi="Times New Roman" w:cs="Times New Roman"/>
                      <w:sz w:val="16"/>
                      <w:szCs w:val="16"/>
                    </w:rPr>
                    <w:t>VND)</w:t>
                  </w:r>
                </w:p>
              </w:tc>
              <w:tc>
                <w:tcPr>
                  <w:tcW w:w="1285" w:type="dxa"/>
                  <w:vAlign w:val="bottom"/>
                </w:tcPr>
                <w:p w:rsidR="00E93BA2" w:rsidRPr="00101F18"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01F18">
                    <w:rPr>
                      <w:rFonts w:ascii="Times New Roman" w:hAnsi="Times New Roman" w:cs="Times New Roman"/>
                      <w:color w:val="000000"/>
                      <w:sz w:val="16"/>
                      <w:szCs w:val="16"/>
                    </w:rPr>
                    <w:t>144,440</w:t>
                  </w:r>
                </w:p>
              </w:tc>
              <w:tc>
                <w:tcPr>
                  <w:tcW w:w="1285" w:type="dxa"/>
                  <w:vAlign w:val="bottom"/>
                </w:tcPr>
                <w:p w:rsidR="00E93BA2" w:rsidRPr="0011453A"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145,671</w:t>
                  </w:r>
                </w:p>
              </w:tc>
              <w:tc>
                <w:tcPr>
                  <w:tcW w:w="128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149,088</w:t>
                  </w:r>
                </w:p>
              </w:tc>
              <w:tc>
                <w:tcPr>
                  <w:tcW w:w="128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131,276</w:t>
                  </w:r>
                </w:p>
              </w:tc>
              <w:tc>
                <w:tcPr>
                  <w:tcW w:w="1285" w:type="dxa"/>
                  <w:shd w:val="clear" w:color="auto" w:fill="auto"/>
                  <w:vAlign w:val="center"/>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88,581</w:t>
                  </w:r>
                </w:p>
              </w:tc>
              <w:tc>
                <w:tcPr>
                  <w:tcW w:w="1705" w:type="dxa"/>
                  <w:shd w:val="clear" w:color="auto" w:fill="auto"/>
                  <w:vAlign w:val="center"/>
                </w:tcPr>
                <w:p w:rsidR="00E93BA2" w:rsidRPr="00DD52F7"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DD52F7">
                    <w:rPr>
                      <w:rFonts w:ascii="Times New Roman" w:hAnsi="Times New Roman" w:cs="Times New Roman"/>
                      <w:color w:val="000000"/>
                      <w:sz w:val="16"/>
                      <w:szCs w:val="16"/>
                    </w:rPr>
                    <w:t>90,949</w:t>
                  </w:r>
                </w:p>
              </w:tc>
              <w:tc>
                <w:tcPr>
                  <w:tcW w:w="1705" w:type="dxa"/>
                  <w:shd w:val="clear" w:color="auto" w:fill="auto"/>
                  <w:vAlign w:val="center"/>
                </w:tcPr>
                <w:p w:rsidR="00E93BA2" w:rsidRPr="00F44E48"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44E48">
                    <w:rPr>
                      <w:rFonts w:ascii="Times New Roman" w:hAnsi="Times New Roman" w:cs="Times New Roman"/>
                      <w:color w:val="000000"/>
                      <w:sz w:val="16"/>
                      <w:szCs w:val="16"/>
                    </w:rPr>
                    <w:t>92,238</w:t>
                  </w:r>
                </w:p>
              </w:tc>
              <w:tc>
                <w:tcPr>
                  <w:tcW w:w="1705" w:type="dxa"/>
                  <w:shd w:val="clear" w:color="auto" w:fill="auto"/>
                  <w:vAlign w:val="center"/>
                </w:tcPr>
                <w:p w:rsidR="00E93BA2" w:rsidRPr="006F1615"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86,595</w:t>
                  </w:r>
                </w:p>
              </w:tc>
              <w:tc>
                <w:tcPr>
                  <w:tcW w:w="1705" w:type="dxa"/>
                  <w:shd w:val="clear" w:color="auto" w:fill="auto"/>
                  <w:vAlign w:val="center"/>
                </w:tcPr>
                <w:p w:rsidR="00E93BA2" w:rsidRPr="00C30FA9"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86,594,628,464</w:t>
                  </w:r>
                </w:p>
              </w:tc>
            </w:tr>
            <w:tr w:rsidR="00E93BA2" w:rsidRPr="00301A9C" w:rsidTr="0069560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492492" w:rsidRDefault="00E93BA2" w:rsidP="00E93BA2">
                  <w:pPr>
                    <w:jc w:val="center"/>
                    <w:rPr>
                      <w:rFonts w:ascii="Times New Roman" w:eastAsia="Times New Roman" w:hAnsi="Times New Roman" w:cs="Times New Roman"/>
                      <w:b w:val="0"/>
                      <w:sz w:val="16"/>
                      <w:szCs w:val="16"/>
                    </w:rPr>
                  </w:pPr>
                  <w:r w:rsidRPr="00492492">
                    <w:rPr>
                      <w:rFonts w:ascii="Times New Roman" w:eastAsia="Times New Roman" w:hAnsi="Times New Roman" w:cs="Times New Roman"/>
                      <w:sz w:val="16"/>
                      <w:szCs w:val="16"/>
                    </w:rPr>
                    <w:t>Average</w:t>
                  </w:r>
                </w:p>
              </w:tc>
              <w:tc>
                <w:tcPr>
                  <w:tcW w:w="1285" w:type="dxa"/>
                  <w:vAlign w:val="bottom"/>
                </w:tcPr>
                <w:p w:rsidR="00E93BA2" w:rsidRPr="00101F18"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01F18">
                    <w:rPr>
                      <w:rFonts w:ascii="Times New Roman" w:hAnsi="Times New Roman" w:cs="Times New Roman"/>
                      <w:color w:val="000000"/>
                      <w:sz w:val="16"/>
                      <w:szCs w:val="16"/>
                    </w:rPr>
                    <w:t>2,063</w:t>
                  </w:r>
                </w:p>
              </w:tc>
              <w:tc>
                <w:tcPr>
                  <w:tcW w:w="1285" w:type="dxa"/>
                  <w:vAlign w:val="bottom"/>
                </w:tcPr>
                <w:p w:rsidR="00E93BA2" w:rsidRPr="0011453A"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2,081</w:t>
                  </w:r>
                </w:p>
              </w:tc>
              <w:tc>
                <w:tcPr>
                  <w:tcW w:w="128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2,130</w:t>
                  </w:r>
                </w:p>
              </w:tc>
              <w:tc>
                <w:tcPr>
                  <w:tcW w:w="128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1,875</w:t>
                  </w:r>
                </w:p>
              </w:tc>
              <w:tc>
                <w:tcPr>
                  <w:tcW w:w="1285" w:type="dxa"/>
                  <w:shd w:val="clear" w:color="auto" w:fill="auto"/>
                  <w:vAlign w:val="center"/>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1,265</w:t>
                  </w:r>
                </w:p>
              </w:tc>
              <w:tc>
                <w:tcPr>
                  <w:tcW w:w="1705" w:type="dxa"/>
                  <w:shd w:val="clear" w:color="auto" w:fill="auto"/>
                  <w:vAlign w:val="center"/>
                </w:tcPr>
                <w:p w:rsidR="00E93BA2" w:rsidRPr="00DD52F7"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DD52F7">
                    <w:rPr>
                      <w:rFonts w:ascii="Times New Roman" w:hAnsi="Times New Roman" w:cs="Times New Roman"/>
                      <w:color w:val="000000"/>
                      <w:sz w:val="16"/>
                      <w:szCs w:val="16"/>
                    </w:rPr>
                    <w:t>1,299</w:t>
                  </w:r>
                </w:p>
              </w:tc>
              <w:tc>
                <w:tcPr>
                  <w:tcW w:w="1705" w:type="dxa"/>
                  <w:shd w:val="clear" w:color="auto" w:fill="auto"/>
                  <w:vAlign w:val="center"/>
                </w:tcPr>
                <w:p w:rsidR="00E93BA2" w:rsidRPr="00F44E48"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44E48">
                    <w:rPr>
                      <w:rFonts w:ascii="Times New Roman" w:hAnsi="Times New Roman" w:cs="Times New Roman"/>
                      <w:color w:val="000000"/>
                      <w:sz w:val="16"/>
                      <w:szCs w:val="16"/>
                    </w:rPr>
                    <w:t>1,318</w:t>
                  </w:r>
                </w:p>
              </w:tc>
              <w:tc>
                <w:tcPr>
                  <w:tcW w:w="1705" w:type="dxa"/>
                  <w:shd w:val="clear" w:color="auto" w:fill="auto"/>
                  <w:vAlign w:val="center"/>
                </w:tcPr>
                <w:p w:rsidR="00E93BA2" w:rsidRPr="006F1615"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1,237</w:t>
                  </w:r>
                </w:p>
              </w:tc>
              <w:tc>
                <w:tcPr>
                  <w:tcW w:w="1705" w:type="dxa"/>
                  <w:shd w:val="clear" w:color="auto" w:fill="auto"/>
                  <w:vAlign w:val="center"/>
                </w:tcPr>
                <w:p w:rsidR="00E93BA2" w:rsidRPr="00C30FA9"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1,237,066,121</w:t>
                  </w:r>
                </w:p>
              </w:tc>
            </w:tr>
            <w:tr w:rsidR="00E93BA2" w:rsidRPr="00301A9C" w:rsidTr="00695609">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492492" w:rsidRDefault="00E93BA2" w:rsidP="00E93BA2">
                  <w:pPr>
                    <w:jc w:val="center"/>
                    <w:rPr>
                      <w:rFonts w:ascii="Times New Roman" w:eastAsia="Times New Roman" w:hAnsi="Times New Roman" w:cs="Times New Roman"/>
                      <w:b w:val="0"/>
                      <w:sz w:val="16"/>
                      <w:szCs w:val="16"/>
                    </w:rPr>
                  </w:pPr>
                  <w:r w:rsidRPr="00492492">
                    <w:rPr>
                      <w:rFonts w:ascii="Times New Roman" w:eastAsia="Times New Roman" w:hAnsi="Times New Roman" w:cs="Times New Roman"/>
                      <w:sz w:val="16"/>
                      <w:szCs w:val="16"/>
                    </w:rPr>
                    <w:t>Max</w:t>
                  </w:r>
                </w:p>
              </w:tc>
              <w:tc>
                <w:tcPr>
                  <w:tcW w:w="1285" w:type="dxa"/>
                  <w:vAlign w:val="bottom"/>
                </w:tcPr>
                <w:p w:rsidR="00E93BA2" w:rsidRPr="00101F18"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01F18">
                    <w:rPr>
                      <w:rFonts w:ascii="Times New Roman" w:hAnsi="Times New Roman" w:cs="Times New Roman"/>
                      <w:color w:val="000000"/>
                      <w:sz w:val="16"/>
                      <w:szCs w:val="16"/>
                    </w:rPr>
                    <w:t>11,181</w:t>
                  </w:r>
                </w:p>
              </w:tc>
              <w:tc>
                <w:tcPr>
                  <w:tcW w:w="1285" w:type="dxa"/>
                  <w:vAlign w:val="bottom"/>
                </w:tcPr>
                <w:p w:rsidR="00E93BA2" w:rsidRPr="0011453A"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9,988</w:t>
                  </w:r>
                </w:p>
              </w:tc>
              <w:tc>
                <w:tcPr>
                  <w:tcW w:w="128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9,707</w:t>
                  </w:r>
                </w:p>
              </w:tc>
              <w:tc>
                <w:tcPr>
                  <w:tcW w:w="128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12,940</w:t>
                  </w:r>
                </w:p>
              </w:tc>
              <w:tc>
                <w:tcPr>
                  <w:tcW w:w="1285" w:type="dxa"/>
                  <w:shd w:val="clear" w:color="auto" w:fill="auto"/>
                  <w:vAlign w:val="center"/>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6,479</w:t>
                  </w:r>
                </w:p>
              </w:tc>
              <w:tc>
                <w:tcPr>
                  <w:tcW w:w="1705" w:type="dxa"/>
                  <w:shd w:val="clear" w:color="auto" w:fill="auto"/>
                  <w:vAlign w:val="center"/>
                </w:tcPr>
                <w:p w:rsidR="00E93BA2" w:rsidRPr="00DD52F7"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DD52F7">
                    <w:rPr>
                      <w:rFonts w:ascii="Times New Roman" w:hAnsi="Times New Roman" w:cs="Times New Roman"/>
                      <w:color w:val="000000"/>
                      <w:sz w:val="16"/>
                      <w:szCs w:val="16"/>
                    </w:rPr>
                    <w:t>10,327</w:t>
                  </w:r>
                </w:p>
              </w:tc>
              <w:tc>
                <w:tcPr>
                  <w:tcW w:w="1705" w:type="dxa"/>
                  <w:shd w:val="clear" w:color="auto" w:fill="auto"/>
                  <w:vAlign w:val="center"/>
                </w:tcPr>
                <w:p w:rsidR="00E93BA2" w:rsidRPr="00F44E48"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44E48">
                    <w:rPr>
                      <w:rFonts w:ascii="Times New Roman" w:hAnsi="Times New Roman" w:cs="Times New Roman"/>
                      <w:color w:val="000000"/>
                      <w:sz w:val="16"/>
                      <w:szCs w:val="16"/>
                    </w:rPr>
                    <w:t>10,973</w:t>
                  </w:r>
                </w:p>
              </w:tc>
              <w:tc>
                <w:tcPr>
                  <w:tcW w:w="1705" w:type="dxa"/>
                  <w:shd w:val="clear" w:color="auto" w:fill="auto"/>
                  <w:vAlign w:val="center"/>
                </w:tcPr>
                <w:p w:rsidR="00E93BA2" w:rsidRPr="006F1615"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7,216</w:t>
                  </w:r>
                </w:p>
              </w:tc>
              <w:tc>
                <w:tcPr>
                  <w:tcW w:w="1705" w:type="dxa"/>
                  <w:shd w:val="clear" w:color="auto" w:fill="auto"/>
                  <w:vAlign w:val="center"/>
                </w:tcPr>
                <w:p w:rsidR="00E93BA2" w:rsidRPr="00C30FA9"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7,216,178,809</w:t>
                  </w:r>
                </w:p>
              </w:tc>
            </w:tr>
            <w:tr w:rsidR="00E93BA2" w:rsidRPr="00301A9C" w:rsidTr="0069560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492492" w:rsidRDefault="00E93BA2" w:rsidP="00E93BA2">
                  <w:pPr>
                    <w:jc w:val="center"/>
                    <w:rPr>
                      <w:rFonts w:ascii="Times New Roman" w:eastAsia="Times New Roman" w:hAnsi="Times New Roman" w:cs="Times New Roman"/>
                      <w:b w:val="0"/>
                      <w:sz w:val="16"/>
                      <w:szCs w:val="16"/>
                    </w:rPr>
                  </w:pPr>
                  <w:r w:rsidRPr="00492492">
                    <w:rPr>
                      <w:rFonts w:ascii="Times New Roman" w:eastAsia="Times New Roman" w:hAnsi="Times New Roman" w:cs="Times New Roman"/>
                      <w:sz w:val="16"/>
                      <w:szCs w:val="16"/>
                    </w:rPr>
                    <w:t>Min</w:t>
                  </w:r>
                </w:p>
              </w:tc>
              <w:tc>
                <w:tcPr>
                  <w:tcW w:w="1285" w:type="dxa"/>
                  <w:vAlign w:val="bottom"/>
                </w:tcPr>
                <w:p w:rsidR="00E93BA2" w:rsidRPr="00101F18"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01F18">
                    <w:rPr>
                      <w:rFonts w:ascii="Times New Roman" w:hAnsi="Times New Roman" w:cs="Times New Roman"/>
                      <w:color w:val="000000"/>
                      <w:sz w:val="16"/>
                      <w:szCs w:val="16"/>
                    </w:rPr>
                    <w:t>204</w:t>
                  </w:r>
                </w:p>
              </w:tc>
              <w:tc>
                <w:tcPr>
                  <w:tcW w:w="1285" w:type="dxa"/>
                  <w:vAlign w:val="bottom"/>
                </w:tcPr>
                <w:p w:rsidR="00E93BA2" w:rsidRPr="0011453A"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246</w:t>
                  </w:r>
                </w:p>
              </w:tc>
              <w:tc>
                <w:tcPr>
                  <w:tcW w:w="128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237</w:t>
                  </w:r>
                </w:p>
              </w:tc>
              <w:tc>
                <w:tcPr>
                  <w:tcW w:w="128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259</w:t>
                  </w:r>
                </w:p>
              </w:tc>
              <w:tc>
                <w:tcPr>
                  <w:tcW w:w="1285" w:type="dxa"/>
                  <w:shd w:val="clear" w:color="auto" w:fill="auto"/>
                  <w:vAlign w:val="center"/>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76</w:t>
                  </w:r>
                </w:p>
              </w:tc>
              <w:tc>
                <w:tcPr>
                  <w:tcW w:w="1705" w:type="dxa"/>
                  <w:shd w:val="clear" w:color="auto" w:fill="auto"/>
                  <w:vAlign w:val="center"/>
                </w:tcPr>
                <w:p w:rsidR="00E93BA2" w:rsidRPr="00DD52F7"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DD52F7">
                    <w:rPr>
                      <w:rFonts w:ascii="Times New Roman" w:hAnsi="Times New Roman" w:cs="Times New Roman"/>
                      <w:color w:val="000000"/>
                      <w:sz w:val="16"/>
                      <w:szCs w:val="16"/>
                    </w:rPr>
                    <w:t>121</w:t>
                  </w:r>
                </w:p>
              </w:tc>
              <w:tc>
                <w:tcPr>
                  <w:tcW w:w="1705" w:type="dxa"/>
                  <w:shd w:val="clear" w:color="auto" w:fill="auto"/>
                  <w:vAlign w:val="center"/>
                </w:tcPr>
                <w:p w:rsidR="00E93BA2" w:rsidRPr="00F44E48"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44E48">
                    <w:rPr>
                      <w:rFonts w:ascii="Times New Roman" w:hAnsi="Times New Roman" w:cs="Times New Roman"/>
                      <w:color w:val="000000"/>
                      <w:sz w:val="16"/>
                      <w:szCs w:val="16"/>
                    </w:rPr>
                    <w:t>129</w:t>
                  </w:r>
                </w:p>
              </w:tc>
              <w:tc>
                <w:tcPr>
                  <w:tcW w:w="1705" w:type="dxa"/>
                  <w:shd w:val="clear" w:color="auto" w:fill="auto"/>
                  <w:vAlign w:val="center"/>
                </w:tcPr>
                <w:p w:rsidR="00E93BA2" w:rsidRPr="006F1615"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148</w:t>
                  </w:r>
                </w:p>
              </w:tc>
              <w:tc>
                <w:tcPr>
                  <w:tcW w:w="1705" w:type="dxa"/>
                  <w:shd w:val="clear" w:color="auto" w:fill="auto"/>
                  <w:vAlign w:val="center"/>
                </w:tcPr>
                <w:p w:rsidR="00E93BA2" w:rsidRPr="00C30FA9"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147,839,967</w:t>
                  </w:r>
                </w:p>
              </w:tc>
            </w:tr>
            <w:tr w:rsidR="00E93BA2" w:rsidRPr="00301A9C" w:rsidTr="00695609">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492492" w:rsidRDefault="00E93BA2" w:rsidP="00E93BA2">
                  <w:pPr>
                    <w:jc w:val="center"/>
                    <w:rPr>
                      <w:rFonts w:ascii="Times New Roman" w:eastAsia="Times New Roman" w:hAnsi="Times New Roman" w:cs="Times New Roman"/>
                      <w:b w:val="0"/>
                      <w:sz w:val="16"/>
                      <w:szCs w:val="16"/>
                    </w:rPr>
                  </w:pPr>
                  <w:r w:rsidRPr="00492492">
                    <w:rPr>
                      <w:rFonts w:ascii="Times New Roman" w:eastAsia="Times New Roman" w:hAnsi="Times New Roman" w:cs="Times New Roman"/>
                      <w:sz w:val="16"/>
                      <w:szCs w:val="16"/>
                    </w:rPr>
                    <w:t>Median</w:t>
                  </w:r>
                </w:p>
              </w:tc>
              <w:tc>
                <w:tcPr>
                  <w:tcW w:w="1285" w:type="dxa"/>
                  <w:vAlign w:val="bottom"/>
                </w:tcPr>
                <w:p w:rsidR="00E93BA2" w:rsidRPr="00101F18"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01F18">
                    <w:rPr>
                      <w:rFonts w:ascii="Times New Roman" w:hAnsi="Times New Roman" w:cs="Times New Roman"/>
                      <w:color w:val="000000"/>
                      <w:sz w:val="16"/>
                      <w:szCs w:val="16"/>
                    </w:rPr>
                    <w:t>1,701</w:t>
                  </w:r>
                </w:p>
              </w:tc>
              <w:tc>
                <w:tcPr>
                  <w:tcW w:w="1285" w:type="dxa"/>
                  <w:vAlign w:val="bottom"/>
                </w:tcPr>
                <w:p w:rsidR="00E93BA2" w:rsidRPr="0011453A"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1,667</w:t>
                  </w:r>
                </w:p>
              </w:tc>
              <w:tc>
                <w:tcPr>
                  <w:tcW w:w="128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1,728</w:t>
                  </w:r>
                </w:p>
              </w:tc>
              <w:tc>
                <w:tcPr>
                  <w:tcW w:w="128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1,180</w:t>
                  </w:r>
                </w:p>
              </w:tc>
              <w:tc>
                <w:tcPr>
                  <w:tcW w:w="1285" w:type="dxa"/>
                  <w:shd w:val="clear" w:color="auto" w:fill="auto"/>
                  <w:vAlign w:val="center"/>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842</w:t>
                  </w:r>
                </w:p>
              </w:tc>
              <w:tc>
                <w:tcPr>
                  <w:tcW w:w="1705" w:type="dxa"/>
                  <w:shd w:val="clear" w:color="auto" w:fill="auto"/>
                  <w:vAlign w:val="center"/>
                </w:tcPr>
                <w:p w:rsidR="00E93BA2" w:rsidRPr="00DD52F7"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DD52F7">
                    <w:rPr>
                      <w:rFonts w:ascii="Times New Roman" w:hAnsi="Times New Roman" w:cs="Times New Roman"/>
                      <w:color w:val="000000"/>
                      <w:sz w:val="16"/>
                      <w:szCs w:val="16"/>
                    </w:rPr>
                    <w:t>897</w:t>
                  </w:r>
                </w:p>
              </w:tc>
              <w:tc>
                <w:tcPr>
                  <w:tcW w:w="1705" w:type="dxa"/>
                  <w:shd w:val="clear" w:color="auto" w:fill="auto"/>
                  <w:vAlign w:val="center"/>
                </w:tcPr>
                <w:p w:rsidR="00E93BA2" w:rsidRPr="00F44E48"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44E48">
                    <w:rPr>
                      <w:rFonts w:ascii="Times New Roman" w:hAnsi="Times New Roman" w:cs="Times New Roman"/>
                      <w:color w:val="000000"/>
                      <w:sz w:val="16"/>
                      <w:szCs w:val="16"/>
                    </w:rPr>
                    <w:t>1,011</w:t>
                  </w:r>
                </w:p>
              </w:tc>
              <w:tc>
                <w:tcPr>
                  <w:tcW w:w="1705" w:type="dxa"/>
                  <w:shd w:val="clear" w:color="auto" w:fill="auto"/>
                  <w:vAlign w:val="center"/>
                </w:tcPr>
                <w:p w:rsidR="00E93BA2" w:rsidRPr="006F1615"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871</w:t>
                  </w:r>
                </w:p>
              </w:tc>
              <w:tc>
                <w:tcPr>
                  <w:tcW w:w="1705" w:type="dxa"/>
                  <w:shd w:val="clear" w:color="auto" w:fill="auto"/>
                  <w:vAlign w:val="center"/>
                </w:tcPr>
                <w:p w:rsidR="00E93BA2" w:rsidRPr="00C30FA9"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871,064,160</w:t>
                  </w:r>
                </w:p>
              </w:tc>
            </w:tr>
            <w:tr w:rsidR="00E93BA2" w:rsidRPr="00301A9C" w:rsidTr="0069560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492492" w:rsidRDefault="00E93BA2" w:rsidP="00E93BA2">
                  <w:pPr>
                    <w:rPr>
                      <w:rFonts w:ascii="Times New Roman" w:eastAsia="Times New Roman" w:hAnsi="Times New Roman" w:cs="Times New Roman"/>
                      <w:b w:val="0"/>
                      <w:sz w:val="16"/>
                      <w:szCs w:val="16"/>
                    </w:rPr>
                  </w:pPr>
                  <w:r w:rsidRPr="00492492">
                    <w:rPr>
                      <w:rFonts w:ascii="Times New Roman" w:eastAsia="Times New Roman" w:hAnsi="Times New Roman" w:cs="Times New Roman"/>
                      <w:sz w:val="16"/>
                      <w:szCs w:val="16"/>
                    </w:rPr>
                    <w:t>Weighted capitalization of largest company</w:t>
                  </w:r>
                </w:p>
              </w:tc>
              <w:tc>
                <w:tcPr>
                  <w:tcW w:w="1285" w:type="dxa"/>
                  <w:vAlign w:val="bottom"/>
                </w:tcPr>
                <w:p w:rsidR="00E93BA2" w:rsidRPr="00101F18"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01F18">
                    <w:rPr>
                      <w:rFonts w:ascii="Times New Roman" w:hAnsi="Times New Roman" w:cs="Times New Roman"/>
                      <w:color w:val="000000"/>
                      <w:sz w:val="16"/>
                      <w:szCs w:val="16"/>
                    </w:rPr>
                    <w:t>7.74%</w:t>
                  </w:r>
                </w:p>
              </w:tc>
              <w:tc>
                <w:tcPr>
                  <w:tcW w:w="1285" w:type="dxa"/>
                  <w:vAlign w:val="bottom"/>
                </w:tcPr>
                <w:p w:rsidR="00E93BA2" w:rsidRPr="0011453A"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6.86%</w:t>
                  </w:r>
                </w:p>
              </w:tc>
              <w:tc>
                <w:tcPr>
                  <w:tcW w:w="128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6.51%</w:t>
                  </w:r>
                </w:p>
              </w:tc>
              <w:tc>
                <w:tcPr>
                  <w:tcW w:w="1285" w:type="dxa"/>
                  <w:shd w:val="clear" w:color="auto" w:fill="auto"/>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9.86%</w:t>
                  </w:r>
                </w:p>
              </w:tc>
              <w:tc>
                <w:tcPr>
                  <w:tcW w:w="1285" w:type="dxa"/>
                  <w:shd w:val="clear" w:color="auto" w:fill="auto"/>
                  <w:vAlign w:val="center"/>
                </w:tcPr>
                <w:p w:rsidR="00E93BA2"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7.31%</w:t>
                  </w:r>
                </w:p>
              </w:tc>
              <w:tc>
                <w:tcPr>
                  <w:tcW w:w="1705" w:type="dxa"/>
                  <w:shd w:val="clear" w:color="auto" w:fill="auto"/>
                  <w:vAlign w:val="center"/>
                </w:tcPr>
                <w:p w:rsidR="00E93BA2" w:rsidRPr="00DD52F7"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DD52F7">
                    <w:rPr>
                      <w:rFonts w:ascii="Times New Roman" w:hAnsi="Times New Roman" w:cs="Times New Roman"/>
                      <w:color w:val="000000"/>
                      <w:sz w:val="16"/>
                      <w:szCs w:val="16"/>
                    </w:rPr>
                    <w:t>11.36%</w:t>
                  </w:r>
                </w:p>
              </w:tc>
              <w:tc>
                <w:tcPr>
                  <w:tcW w:w="1705" w:type="dxa"/>
                  <w:shd w:val="clear" w:color="auto" w:fill="auto"/>
                  <w:vAlign w:val="center"/>
                </w:tcPr>
                <w:p w:rsidR="00E93BA2" w:rsidRPr="00F44E48"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44E48">
                    <w:rPr>
                      <w:rFonts w:ascii="Times New Roman" w:hAnsi="Times New Roman" w:cs="Times New Roman"/>
                      <w:color w:val="000000"/>
                      <w:sz w:val="16"/>
                      <w:szCs w:val="16"/>
                    </w:rPr>
                    <w:t>11.90%</w:t>
                  </w:r>
                </w:p>
              </w:tc>
              <w:tc>
                <w:tcPr>
                  <w:tcW w:w="1705" w:type="dxa"/>
                  <w:shd w:val="clear" w:color="auto" w:fill="auto"/>
                  <w:vAlign w:val="center"/>
                </w:tcPr>
                <w:p w:rsidR="00E93BA2" w:rsidRPr="006F1615"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8.33%</w:t>
                  </w:r>
                </w:p>
              </w:tc>
              <w:tc>
                <w:tcPr>
                  <w:tcW w:w="1705" w:type="dxa"/>
                  <w:shd w:val="clear" w:color="auto" w:fill="auto"/>
                  <w:vAlign w:val="center"/>
                </w:tcPr>
                <w:p w:rsidR="00E93BA2" w:rsidRPr="00C30FA9" w:rsidRDefault="00E93BA2" w:rsidP="00E93B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8.33%</w:t>
                  </w:r>
                </w:p>
              </w:tc>
            </w:tr>
            <w:tr w:rsidR="00E93BA2" w:rsidRPr="00301A9C" w:rsidTr="00695609">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E93BA2" w:rsidRPr="00492492" w:rsidRDefault="00E93BA2" w:rsidP="00E93BA2">
                  <w:pPr>
                    <w:rPr>
                      <w:rFonts w:ascii="Times New Roman" w:eastAsia="Times New Roman" w:hAnsi="Times New Roman" w:cs="Times New Roman"/>
                      <w:b w:val="0"/>
                      <w:sz w:val="16"/>
                      <w:szCs w:val="16"/>
                    </w:rPr>
                  </w:pPr>
                  <w:r w:rsidRPr="00492492">
                    <w:rPr>
                      <w:rFonts w:ascii="Times New Roman" w:eastAsia="Times New Roman" w:hAnsi="Times New Roman" w:cs="Times New Roman"/>
                      <w:sz w:val="16"/>
                      <w:szCs w:val="16"/>
                    </w:rPr>
                    <w:t>Weighted capitalization of top-10 companies</w:t>
                  </w:r>
                </w:p>
              </w:tc>
              <w:tc>
                <w:tcPr>
                  <w:tcW w:w="1285" w:type="dxa"/>
                  <w:vAlign w:val="bottom"/>
                </w:tcPr>
                <w:p w:rsidR="00E93BA2" w:rsidRPr="00101F18"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01F18">
                    <w:rPr>
                      <w:rFonts w:ascii="Times New Roman" w:hAnsi="Times New Roman" w:cs="Times New Roman"/>
                      <w:color w:val="000000"/>
                      <w:sz w:val="16"/>
                      <w:szCs w:val="16"/>
                    </w:rPr>
                    <w:t>38.93%</w:t>
                  </w:r>
                </w:p>
              </w:tc>
              <w:tc>
                <w:tcPr>
                  <w:tcW w:w="1285" w:type="dxa"/>
                  <w:vAlign w:val="bottom"/>
                </w:tcPr>
                <w:p w:rsidR="00E93BA2" w:rsidRPr="0011453A"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38.29%</w:t>
                  </w:r>
                </w:p>
              </w:tc>
              <w:tc>
                <w:tcPr>
                  <w:tcW w:w="128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38.70%</w:t>
                  </w:r>
                </w:p>
              </w:tc>
              <w:tc>
                <w:tcPr>
                  <w:tcW w:w="1285" w:type="dxa"/>
                  <w:shd w:val="clear" w:color="auto" w:fill="auto"/>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43.95%</w:t>
                  </w:r>
                </w:p>
              </w:tc>
              <w:tc>
                <w:tcPr>
                  <w:tcW w:w="1285" w:type="dxa"/>
                  <w:shd w:val="clear" w:color="auto" w:fill="auto"/>
                  <w:vAlign w:val="center"/>
                </w:tcPr>
                <w:p w:rsidR="00E93BA2"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37.86%</w:t>
                  </w:r>
                </w:p>
              </w:tc>
              <w:tc>
                <w:tcPr>
                  <w:tcW w:w="1705" w:type="dxa"/>
                  <w:shd w:val="clear" w:color="auto" w:fill="auto"/>
                  <w:vAlign w:val="center"/>
                </w:tcPr>
                <w:p w:rsidR="00E93BA2" w:rsidRPr="00DD52F7"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DD52F7">
                    <w:rPr>
                      <w:rFonts w:ascii="Times New Roman" w:hAnsi="Times New Roman" w:cs="Times New Roman"/>
                      <w:color w:val="000000"/>
                      <w:sz w:val="16"/>
                      <w:szCs w:val="16"/>
                    </w:rPr>
                    <w:t>43.42%</w:t>
                  </w:r>
                </w:p>
              </w:tc>
              <w:tc>
                <w:tcPr>
                  <w:tcW w:w="1705" w:type="dxa"/>
                  <w:shd w:val="clear" w:color="auto" w:fill="auto"/>
                  <w:vAlign w:val="center"/>
                </w:tcPr>
                <w:p w:rsidR="00E93BA2" w:rsidRPr="00F44E48"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44E48">
                    <w:rPr>
                      <w:rFonts w:ascii="Times New Roman" w:hAnsi="Times New Roman" w:cs="Times New Roman"/>
                      <w:color w:val="000000"/>
                      <w:sz w:val="16"/>
                      <w:szCs w:val="16"/>
                    </w:rPr>
                    <w:t>42.19%</w:t>
                  </w:r>
                </w:p>
              </w:tc>
              <w:tc>
                <w:tcPr>
                  <w:tcW w:w="1705" w:type="dxa"/>
                  <w:shd w:val="clear" w:color="auto" w:fill="auto"/>
                  <w:vAlign w:val="center"/>
                </w:tcPr>
                <w:p w:rsidR="00E93BA2" w:rsidRPr="006F1615"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43.07%</w:t>
                  </w:r>
                </w:p>
              </w:tc>
              <w:tc>
                <w:tcPr>
                  <w:tcW w:w="1705" w:type="dxa"/>
                  <w:shd w:val="clear" w:color="auto" w:fill="auto"/>
                  <w:vAlign w:val="center"/>
                </w:tcPr>
                <w:p w:rsidR="00E93BA2" w:rsidRPr="00C30FA9" w:rsidRDefault="00E93BA2" w:rsidP="00E93B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43.07%</w:t>
                  </w:r>
                </w:p>
              </w:tc>
            </w:tr>
          </w:tbl>
          <w:p w:rsidR="00FA53D4" w:rsidRPr="00BC4093" w:rsidRDefault="00FA53D4" w:rsidP="005266FC">
            <w:pPr>
              <w:rPr>
                <w:rFonts w:ascii="Times New Roman" w:hAnsi="Times New Roman" w:cs="Times New Roman"/>
                <w:sz w:val="16"/>
                <w:szCs w:val="16"/>
              </w:rPr>
            </w:pPr>
          </w:p>
        </w:tc>
        <w:tc>
          <w:tcPr>
            <w:tcW w:w="5436" w:type="dxa"/>
            <w:gridSpan w:val="4"/>
          </w:tcPr>
          <w:p w:rsidR="00FA53D4" w:rsidRPr="00CE5502" w:rsidRDefault="00FA53D4" w:rsidP="005266FC">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Base Date: </w:t>
            </w:r>
            <w:r>
              <w:rPr>
                <w:rFonts w:ascii="Times New Roman" w:hAnsi="Times New Roman" w:cs="Times New Roman"/>
                <w:sz w:val="16"/>
                <w:szCs w:val="18"/>
              </w:rPr>
              <w:t>24</w:t>
            </w:r>
            <w:r w:rsidRPr="00CE5502">
              <w:rPr>
                <w:rFonts w:ascii="Times New Roman" w:hAnsi="Times New Roman" w:cs="Times New Roman"/>
                <w:sz w:val="16"/>
                <w:szCs w:val="18"/>
              </w:rPr>
              <w:t>/01/20</w:t>
            </w:r>
            <w:r>
              <w:rPr>
                <w:rFonts w:ascii="Times New Roman" w:hAnsi="Times New Roman" w:cs="Times New Roman"/>
                <w:sz w:val="16"/>
                <w:szCs w:val="18"/>
              </w:rPr>
              <w:t>14</w:t>
            </w:r>
          </w:p>
          <w:p w:rsidR="00FA53D4" w:rsidRPr="00CE5502" w:rsidRDefault="00FA53D4" w:rsidP="005266FC">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Base Value: </w:t>
            </w:r>
            <w:r>
              <w:rPr>
                <w:rFonts w:ascii="Times New Roman" w:hAnsi="Times New Roman" w:cs="Times New Roman"/>
                <w:sz w:val="16"/>
                <w:szCs w:val="18"/>
              </w:rPr>
              <w:t>560.19</w:t>
            </w:r>
          </w:p>
          <w:p w:rsidR="00FA53D4" w:rsidRPr="00CE5502" w:rsidRDefault="00FA53D4" w:rsidP="005266FC">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Availability: </w:t>
            </w:r>
            <w:r w:rsidRPr="00CE5502">
              <w:rPr>
                <w:rFonts w:ascii="Times New Roman" w:hAnsi="Times New Roman" w:cs="Times New Roman"/>
                <w:sz w:val="16"/>
                <w:szCs w:val="18"/>
              </w:rPr>
              <w:t>Price and Total Return</w:t>
            </w:r>
          </w:p>
          <w:p w:rsidR="00FA53D4" w:rsidRPr="00CE5502" w:rsidRDefault="00FA53D4" w:rsidP="005266FC">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Frequency: </w:t>
            </w:r>
          </w:p>
          <w:p w:rsidR="00FA53D4" w:rsidRPr="00CE5502" w:rsidRDefault="00FA53D4" w:rsidP="005266FC">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 </w:t>
            </w:r>
            <w:proofErr w:type="spellStart"/>
            <w:r w:rsidRPr="00CE5502">
              <w:rPr>
                <w:rFonts w:ascii="Times New Roman" w:hAnsi="Times New Roman" w:cs="Times New Roman"/>
                <w:b/>
                <w:sz w:val="16"/>
                <w:szCs w:val="18"/>
              </w:rPr>
              <w:t>VN</w:t>
            </w:r>
            <w:r>
              <w:rPr>
                <w:rFonts w:ascii="Times New Roman" w:hAnsi="Times New Roman" w:cs="Times New Roman"/>
                <w:b/>
                <w:sz w:val="16"/>
                <w:szCs w:val="18"/>
              </w:rPr>
              <w:t>Midcap</w:t>
            </w:r>
            <w:proofErr w:type="spellEnd"/>
            <w:r w:rsidRPr="00CE5502">
              <w:rPr>
                <w:rFonts w:ascii="Times New Roman" w:hAnsi="Times New Roman" w:cs="Times New Roman"/>
                <w:b/>
                <w:sz w:val="16"/>
                <w:szCs w:val="18"/>
              </w:rPr>
              <w:t xml:space="preserve">: </w:t>
            </w:r>
            <w:r w:rsidRPr="00CE5502">
              <w:rPr>
                <w:rFonts w:ascii="Times New Roman" w:hAnsi="Times New Roman" w:cs="Times New Roman"/>
                <w:sz w:val="16"/>
                <w:szCs w:val="18"/>
              </w:rPr>
              <w:t>Once per minute</w:t>
            </w:r>
            <w:r w:rsidRPr="00CE5502">
              <w:rPr>
                <w:rFonts w:ascii="Times New Roman" w:hAnsi="Times New Roman" w:cs="Times New Roman"/>
                <w:b/>
                <w:sz w:val="16"/>
                <w:szCs w:val="18"/>
              </w:rPr>
              <w:t>.</w:t>
            </w:r>
          </w:p>
          <w:p w:rsidR="00FA53D4" w:rsidRPr="00CE5502" w:rsidRDefault="00FA53D4" w:rsidP="005266FC">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 </w:t>
            </w:r>
            <w:proofErr w:type="spellStart"/>
            <w:r w:rsidRPr="00CE5502">
              <w:rPr>
                <w:rFonts w:ascii="Times New Roman" w:hAnsi="Times New Roman" w:cs="Times New Roman"/>
                <w:b/>
                <w:sz w:val="16"/>
                <w:szCs w:val="18"/>
              </w:rPr>
              <w:t>VN</w:t>
            </w:r>
            <w:r>
              <w:rPr>
                <w:rFonts w:ascii="Times New Roman" w:hAnsi="Times New Roman" w:cs="Times New Roman"/>
                <w:b/>
                <w:sz w:val="16"/>
                <w:szCs w:val="18"/>
              </w:rPr>
              <w:t>Midcap</w:t>
            </w:r>
            <w:r w:rsidRPr="00CE5502">
              <w:rPr>
                <w:rFonts w:ascii="Times New Roman" w:hAnsi="Times New Roman" w:cs="Times New Roman"/>
                <w:b/>
                <w:sz w:val="16"/>
                <w:szCs w:val="18"/>
              </w:rPr>
              <w:t>TRI</w:t>
            </w:r>
            <w:proofErr w:type="spellEnd"/>
            <w:r w:rsidRPr="00CE5502">
              <w:rPr>
                <w:rFonts w:ascii="Times New Roman" w:hAnsi="Times New Roman" w:cs="Times New Roman"/>
                <w:b/>
                <w:sz w:val="16"/>
                <w:szCs w:val="18"/>
              </w:rPr>
              <w:t xml:space="preserve">: </w:t>
            </w:r>
            <w:r w:rsidRPr="00CE5502">
              <w:rPr>
                <w:rFonts w:ascii="Times New Roman" w:hAnsi="Times New Roman" w:cs="Times New Roman"/>
                <w:sz w:val="16"/>
                <w:szCs w:val="18"/>
              </w:rPr>
              <w:t>End of day</w:t>
            </w:r>
            <w:r w:rsidRPr="00CE5502">
              <w:rPr>
                <w:rFonts w:ascii="Times New Roman" w:hAnsi="Times New Roman" w:cs="Times New Roman"/>
                <w:b/>
                <w:sz w:val="16"/>
                <w:szCs w:val="18"/>
              </w:rPr>
              <w:t>.</w:t>
            </w:r>
          </w:p>
          <w:p w:rsidR="00FA53D4" w:rsidRPr="00CE5502" w:rsidRDefault="00FA53D4" w:rsidP="005266FC">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Capping limit: </w:t>
            </w:r>
            <w:r w:rsidRPr="00CE5502">
              <w:rPr>
                <w:rFonts w:ascii="Times New Roman" w:hAnsi="Times New Roman" w:cs="Times New Roman"/>
                <w:sz w:val="16"/>
                <w:szCs w:val="18"/>
              </w:rPr>
              <w:t>10%</w:t>
            </w:r>
          </w:p>
          <w:p w:rsidR="00FA53D4" w:rsidRPr="00CE5502" w:rsidRDefault="00FA53D4" w:rsidP="005266FC">
            <w:pPr>
              <w:spacing w:line="276" w:lineRule="auto"/>
              <w:jc w:val="both"/>
              <w:rPr>
                <w:rFonts w:ascii="Times New Roman" w:hAnsi="Times New Roman" w:cs="Times New Roman"/>
                <w:sz w:val="16"/>
                <w:szCs w:val="18"/>
              </w:rPr>
            </w:pPr>
            <w:r w:rsidRPr="00CE5502">
              <w:rPr>
                <w:rFonts w:ascii="Times New Roman" w:hAnsi="Times New Roman" w:cs="Times New Roman"/>
                <w:b/>
                <w:sz w:val="16"/>
                <w:szCs w:val="18"/>
              </w:rPr>
              <w:t xml:space="preserve">Calculation Method: </w:t>
            </w:r>
            <w:r w:rsidRPr="00E771F9">
              <w:rPr>
                <w:rFonts w:ascii="Times New Roman" w:hAnsi="Times New Roman" w:cs="Times New Roman"/>
                <w:sz w:val="16"/>
                <w:szCs w:val="16"/>
              </w:rPr>
              <w:t>Free-float adjusted market-capitalization weighted index.</w:t>
            </w:r>
          </w:p>
          <w:p w:rsidR="00FA53D4" w:rsidRPr="004E1251" w:rsidRDefault="00FA53D4" w:rsidP="005266FC">
            <w:pPr>
              <w:spacing w:line="276" w:lineRule="auto"/>
              <w:jc w:val="both"/>
              <w:rPr>
                <w:rFonts w:ascii="Times New Roman" w:hAnsi="Times New Roman" w:cs="Times New Roman"/>
                <w:sz w:val="16"/>
                <w:szCs w:val="18"/>
              </w:rPr>
            </w:pPr>
            <w:r w:rsidRPr="00CE5502">
              <w:rPr>
                <w:rFonts w:ascii="Times New Roman" w:hAnsi="Times New Roman" w:cs="Times New Roman"/>
                <w:b/>
                <w:sz w:val="16"/>
                <w:szCs w:val="18"/>
              </w:rPr>
              <w:t xml:space="preserve">Currency: </w:t>
            </w:r>
            <w:r w:rsidRPr="00CE5502">
              <w:rPr>
                <w:rFonts w:ascii="Times New Roman" w:hAnsi="Times New Roman" w:cs="Times New Roman"/>
                <w:sz w:val="16"/>
                <w:szCs w:val="18"/>
              </w:rPr>
              <w:t>VND</w:t>
            </w:r>
          </w:p>
        </w:tc>
      </w:tr>
      <w:tr w:rsidR="00FA53D4" w:rsidRPr="006D2F55" w:rsidTr="00474BB6">
        <w:tblPrEx>
          <w:tblCellMar>
            <w:left w:w="108" w:type="dxa"/>
            <w:right w:w="108" w:type="dxa"/>
          </w:tblCellMar>
        </w:tblPrEx>
        <w:trPr>
          <w:gridAfter w:val="1"/>
          <w:wAfter w:w="49" w:type="dxa"/>
          <w:trHeight w:hRule="exact" w:val="302"/>
          <w:jc w:val="center"/>
        </w:trPr>
        <w:tc>
          <w:tcPr>
            <w:tcW w:w="5776" w:type="dxa"/>
            <w:gridSpan w:val="4"/>
            <w:vMerge w:val="restart"/>
          </w:tcPr>
          <w:p w:rsidR="00FA53D4" w:rsidRDefault="0074250D" w:rsidP="005266FC">
            <w:pPr>
              <w:rPr>
                <w:rFonts w:eastAsia="Times New Roman" w:cs="Times New Roman"/>
                <w:sz w:val="16"/>
                <w:szCs w:val="16"/>
              </w:rPr>
            </w:pPr>
            <w:r>
              <w:rPr>
                <w:rFonts w:eastAsia="Times New Roman" w:cs="Times New Roman"/>
                <w:noProof/>
                <w:sz w:val="16"/>
                <w:szCs w:val="16"/>
              </w:rPr>
              <w:drawing>
                <wp:inline distT="0" distB="0" distL="0" distR="0" wp14:anchorId="503A8ECC">
                  <wp:extent cx="3688715" cy="1542415"/>
                  <wp:effectExtent l="0" t="0" r="698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8715" cy="1542415"/>
                          </a:xfrm>
                          <a:prstGeom prst="rect">
                            <a:avLst/>
                          </a:prstGeom>
                          <a:noFill/>
                        </pic:spPr>
                      </pic:pic>
                    </a:graphicData>
                  </a:graphic>
                </wp:inline>
              </w:drawing>
            </w:r>
            <w:r w:rsidR="00F5321A">
              <w:rPr>
                <w:noProof/>
              </w:rPr>
              <w:drawing>
                <wp:inline distT="0" distB="0" distL="0" distR="0" wp14:anchorId="2F569A73" wp14:editId="286FE959">
                  <wp:extent cx="3687488" cy="1541766"/>
                  <wp:effectExtent l="0" t="0" r="8255" b="1905"/>
                  <wp:docPr id="30" name="Chart 30">
                    <a:extLst xmlns:a="http://schemas.openxmlformats.org/drawingml/2006/main">
                      <a:ext uri="{FF2B5EF4-FFF2-40B4-BE49-F238E27FC236}">
                        <a16:creationId xmlns:a16="http://schemas.microsoft.com/office/drawing/2014/main" id="{00000000-0008-0000-0100-00002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FA53D4">
              <w:rPr>
                <w:noProof/>
              </w:rPr>
              <w:drawing>
                <wp:inline distT="0" distB="0" distL="0" distR="0" wp14:anchorId="433D17E2" wp14:editId="19CA0F7F">
                  <wp:extent cx="3593990" cy="1486894"/>
                  <wp:effectExtent l="0" t="0" r="0" b="0"/>
                  <wp:docPr id="32" name="Chart 32">
                    <a:extLst xmlns:a="http://schemas.openxmlformats.org/drawingml/2006/main">
                      <a:ext uri="{FF2B5EF4-FFF2-40B4-BE49-F238E27FC236}">
                        <a16:creationId xmlns:a16="http://schemas.microsoft.com/office/drawing/2014/main" id="{00000000-0008-0000-0100-00002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436" w:type="dxa"/>
            <w:gridSpan w:val="4"/>
            <w:shd w:val="clear" w:color="auto" w:fill="0070C0"/>
            <w:vAlign w:val="center"/>
          </w:tcPr>
          <w:p w:rsidR="00FA53D4" w:rsidRPr="00CE5502" w:rsidRDefault="00FA53D4" w:rsidP="005266FC">
            <w:pPr>
              <w:rPr>
                <w:rFonts w:ascii="Times New Roman" w:hAnsi="Times New Roman" w:cs="Times New Roman"/>
                <w:b/>
                <w:sz w:val="16"/>
                <w:szCs w:val="18"/>
              </w:rPr>
            </w:pPr>
            <w:r w:rsidRPr="006D2F55">
              <w:rPr>
                <w:rFonts w:ascii="Times New Roman" w:hAnsi="Times New Roman" w:cs="Times New Roman"/>
                <w:b/>
                <w:color w:val="FFFFFF" w:themeColor="background1"/>
              </w:rPr>
              <w:t>Ind</w:t>
            </w:r>
            <w:r>
              <w:rPr>
                <w:rFonts w:ascii="Times New Roman" w:hAnsi="Times New Roman" w:cs="Times New Roman"/>
                <w:b/>
                <w:color w:val="FFFFFF" w:themeColor="background1"/>
              </w:rPr>
              <w:t>ex</w:t>
            </w:r>
            <w:r w:rsidRPr="006D2F55">
              <w:rPr>
                <w:rFonts w:ascii="Times New Roman" w:hAnsi="Times New Roman" w:cs="Times New Roman"/>
                <w:b/>
                <w:color w:val="FFFFFF" w:themeColor="background1"/>
              </w:rPr>
              <w:t xml:space="preserve"> Volatility</w:t>
            </w:r>
          </w:p>
        </w:tc>
      </w:tr>
      <w:tr w:rsidR="00FA53D4" w:rsidRPr="006D2F55" w:rsidTr="00474BB6">
        <w:trPr>
          <w:gridAfter w:val="1"/>
          <w:wAfter w:w="49" w:type="dxa"/>
          <w:trHeight w:hRule="exact" w:val="1010"/>
          <w:jc w:val="center"/>
        </w:trPr>
        <w:tc>
          <w:tcPr>
            <w:tcW w:w="5776" w:type="dxa"/>
            <w:gridSpan w:val="4"/>
            <w:vMerge/>
          </w:tcPr>
          <w:p w:rsidR="00FA53D4" w:rsidRDefault="00FA53D4" w:rsidP="005266FC">
            <w:pPr>
              <w:rPr>
                <w:rFonts w:eastAsia="Times New Roman" w:cs="Times New Roman"/>
                <w:sz w:val="16"/>
                <w:szCs w:val="16"/>
              </w:rPr>
            </w:pPr>
          </w:p>
        </w:tc>
        <w:tc>
          <w:tcPr>
            <w:tcW w:w="5436" w:type="dxa"/>
            <w:gridSpan w:val="4"/>
            <w:vAlign w:val="center"/>
          </w:tcPr>
          <w:tbl>
            <w:tblPr>
              <w:tblW w:w="5274"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879"/>
              <w:gridCol w:w="879"/>
              <w:gridCol w:w="879"/>
              <w:gridCol w:w="879"/>
              <w:gridCol w:w="879"/>
              <w:gridCol w:w="879"/>
            </w:tblGrid>
            <w:tr w:rsidR="00FA53D4" w:rsidRPr="00C84839" w:rsidTr="005266FC">
              <w:trPr>
                <w:trHeight w:val="283"/>
              </w:trPr>
              <w:tc>
                <w:tcPr>
                  <w:tcW w:w="879" w:type="dxa"/>
                  <w:tcBorders>
                    <w:right w:val="single" w:sz="4" w:space="0" w:color="0070C0"/>
                  </w:tcBorders>
                  <w:shd w:val="clear" w:color="auto" w:fill="auto"/>
                  <w:noWrap/>
                  <w:vAlign w:val="center"/>
                  <w:hideMark/>
                </w:tcPr>
                <w:p w:rsidR="00FA53D4" w:rsidRPr="004260EC" w:rsidRDefault="00FA53D4" w:rsidP="005266FC">
                  <w:pPr>
                    <w:spacing w:after="0" w:line="240" w:lineRule="auto"/>
                    <w:jc w:val="center"/>
                    <w:rPr>
                      <w:rFonts w:ascii="Times New Roman" w:eastAsia="Times New Roman" w:hAnsi="Times New Roman" w:cs="Times New Roman"/>
                      <w:sz w:val="14"/>
                      <w:szCs w:val="14"/>
                    </w:rPr>
                  </w:pPr>
                </w:p>
              </w:tc>
              <w:tc>
                <w:tcPr>
                  <w:tcW w:w="879" w:type="dxa"/>
                  <w:tcBorders>
                    <w:left w:val="single" w:sz="4" w:space="0" w:color="0070C0"/>
                  </w:tcBorders>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months</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6 months</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1 year</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years</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5 years</w:t>
                  </w:r>
                </w:p>
              </w:tc>
            </w:tr>
            <w:tr w:rsidR="00E93BA2" w:rsidRPr="00C84839" w:rsidTr="005266FC">
              <w:trPr>
                <w:trHeight w:val="283"/>
              </w:trPr>
              <w:tc>
                <w:tcPr>
                  <w:tcW w:w="879" w:type="dxa"/>
                  <w:tcBorders>
                    <w:right w:val="single" w:sz="4" w:space="0" w:color="0070C0"/>
                  </w:tcBorders>
                  <w:shd w:val="clear" w:color="auto" w:fill="auto"/>
                  <w:noWrap/>
                  <w:vAlign w:val="center"/>
                  <w:hideMark/>
                </w:tcPr>
                <w:p w:rsidR="00E93BA2" w:rsidRPr="004260EC" w:rsidRDefault="00E93BA2" w:rsidP="00E93BA2">
                  <w:pPr>
                    <w:spacing w:after="0" w:line="240" w:lineRule="auto"/>
                    <w:jc w:val="center"/>
                    <w:rPr>
                      <w:rFonts w:ascii="Times New Roman" w:eastAsia="Times New Roman" w:hAnsi="Times New Roman" w:cs="Times New Roman"/>
                      <w:b/>
                      <w:bCs/>
                      <w:color w:val="000000"/>
                      <w:sz w:val="14"/>
                      <w:szCs w:val="14"/>
                    </w:rPr>
                  </w:pPr>
                  <w:proofErr w:type="spellStart"/>
                  <w:r w:rsidRPr="004260EC">
                    <w:rPr>
                      <w:rFonts w:ascii="Times New Roman" w:eastAsia="Times New Roman" w:hAnsi="Times New Roman" w:cs="Times New Roman"/>
                      <w:b/>
                      <w:bCs/>
                      <w:color w:val="000000"/>
                      <w:sz w:val="14"/>
                      <w:szCs w:val="14"/>
                    </w:rPr>
                    <w:t>VNMid</w:t>
                  </w:r>
                  <w:r>
                    <w:rPr>
                      <w:rFonts w:ascii="Times New Roman" w:eastAsia="Times New Roman" w:hAnsi="Times New Roman" w:cs="Times New Roman"/>
                      <w:b/>
                      <w:bCs/>
                      <w:color w:val="000000"/>
                      <w:sz w:val="14"/>
                      <w:szCs w:val="14"/>
                    </w:rPr>
                    <w:t>cap</w:t>
                  </w:r>
                  <w:proofErr w:type="spellEnd"/>
                </w:p>
              </w:tc>
              <w:tc>
                <w:tcPr>
                  <w:tcW w:w="879" w:type="dxa"/>
                  <w:tcBorders>
                    <w:left w:val="single" w:sz="4" w:space="0" w:color="0070C0"/>
                  </w:tcBorders>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5.94%</w:t>
                  </w:r>
                </w:p>
              </w:tc>
              <w:tc>
                <w:tcPr>
                  <w:tcW w:w="87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8.74%</w:t>
                  </w:r>
                </w:p>
              </w:tc>
              <w:tc>
                <w:tcPr>
                  <w:tcW w:w="87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16.74%</w:t>
                  </w:r>
                </w:p>
              </w:tc>
              <w:tc>
                <w:tcPr>
                  <w:tcW w:w="87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25.97%</w:t>
                  </w:r>
                </w:p>
              </w:tc>
              <w:tc>
                <w:tcPr>
                  <w:tcW w:w="87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32.29%</w:t>
                  </w:r>
                </w:p>
              </w:tc>
            </w:tr>
          </w:tbl>
          <w:p w:rsidR="00FA53D4" w:rsidRPr="00CE5502" w:rsidRDefault="00FA53D4" w:rsidP="005266FC">
            <w:pPr>
              <w:jc w:val="center"/>
              <w:rPr>
                <w:rFonts w:ascii="Times New Roman" w:hAnsi="Times New Roman" w:cs="Times New Roman"/>
                <w:b/>
                <w:sz w:val="16"/>
                <w:szCs w:val="18"/>
              </w:rPr>
            </w:pPr>
          </w:p>
        </w:tc>
      </w:tr>
      <w:tr w:rsidR="00FA53D4" w:rsidRPr="006D2F55" w:rsidTr="00474BB6">
        <w:trPr>
          <w:gridAfter w:val="1"/>
          <w:wAfter w:w="49" w:type="dxa"/>
          <w:trHeight w:hRule="exact" w:val="302"/>
          <w:jc w:val="center"/>
        </w:trPr>
        <w:tc>
          <w:tcPr>
            <w:tcW w:w="5776" w:type="dxa"/>
            <w:gridSpan w:val="4"/>
            <w:vMerge/>
          </w:tcPr>
          <w:p w:rsidR="00FA53D4" w:rsidRDefault="00FA53D4" w:rsidP="005266FC">
            <w:pPr>
              <w:rPr>
                <w:rFonts w:eastAsia="Times New Roman" w:cs="Times New Roman"/>
                <w:sz w:val="16"/>
                <w:szCs w:val="16"/>
              </w:rPr>
            </w:pPr>
          </w:p>
        </w:tc>
        <w:tc>
          <w:tcPr>
            <w:tcW w:w="5436" w:type="dxa"/>
            <w:gridSpan w:val="4"/>
            <w:shd w:val="clear" w:color="auto" w:fill="0070C0"/>
            <w:vAlign w:val="center"/>
          </w:tcPr>
          <w:p w:rsidR="00FA53D4" w:rsidRPr="00CE5502" w:rsidRDefault="00FA53D4" w:rsidP="005266FC">
            <w:pPr>
              <w:rPr>
                <w:rFonts w:ascii="Times New Roman" w:hAnsi="Times New Roman" w:cs="Times New Roman"/>
                <w:b/>
                <w:sz w:val="16"/>
                <w:szCs w:val="18"/>
              </w:rPr>
            </w:pPr>
            <w:r w:rsidRPr="006D2F55">
              <w:rPr>
                <w:rFonts w:ascii="Times New Roman" w:hAnsi="Times New Roman" w:cs="Times New Roman"/>
                <w:b/>
                <w:color w:val="FFFFFF" w:themeColor="background1"/>
              </w:rPr>
              <w:t xml:space="preserve">Correlation </w:t>
            </w:r>
            <w:r>
              <w:rPr>
                <w:rFonts w:ascii="Times New Roman" w:hAnsi="Times New Roman" w:cs="Times New Roman"/>
                <w:b/>
                <w:color w:val="FFFFFF" w:themeColor="background1"/>
              </w:rPr>
              <w:t>with VN Index</w:t>
            </w:r>
          </w:p>
        </w:tc>
      </w:tr>
      <w:tr w:rsidR="00FA53D4" w:rsidRPr="006D2F55" w:rsidTr="00474BB6">
        <w:trPr>
          <w:gridAfter w:val="1"/>
          <w:wAfter w:w="49" w:type="dxa"/>
          <w:trHeight w:hRule="exact" w:val="875"/>
          <w:jc w:val="center"/>
        </w:trPr>
        <w:tc>
          <w:tcPr>
            <w:tcW w:w="5776" w:type="dxa"/>
            <w:gridSpan w:val="4"/>
            <w:vMerge/>
          </w:tcPr>
          <w:p w:rsidR="00FA53D4" w:rsidRDefault="00FA53D4" w:rsidP="005266FC">
            <w:pPr>
              <w:rPr>
                <w:rFonts w:eastAsia="Times New Roman" w:cs="Times New Roman"/>
                <w:sz w:val="16"/>
                <w:szCs w:val="16"/>
              </w:rPr>
            </w:pPr>
          </w:p>
        </w:tc>
        <w:tc>
          <w:tcPr>
            <w:tcW w:w="5436" w:type="dxa"/>
            <w:gridSpan w:val="4"/>
            <w:vAlign w:val="center"/>
          </w:tcPr>
          <w:tbl>
            <w:tblPr>
              <w:tblW w:w="5274" w:type="dxa"/>
              <w:tblInd w:w="1"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879"/>
              <w:gridCol w:w="879"/>
              <w:gridCol w:w="879"/>
              <w:gridCol w:w="879"/>
              <w:gridCol w:w="879"/>
              <w:gridCol w:w="879"/>
            </w:tblGrid>
            <w:tr w:rsidR="00FA53D4" w:rsidRPr="00C84839" w:rsidTr="005266FC">
              <w:trPr>
                <w:trHeight w:val="283"/>
              </w:trPr>
              <w:tc>
                <w:tcPr>
                  <w:tcW w:w="879" w:type="dxa"/>
                  <w:tcBorders>
                    <w:right w:val="single" w:sz="4" w:space="0" w:color="0070C0"/>
                  </w:tcBorders>
                  <w:shd w:val="clear" w:color="auto" w:fill="auto"/>
                  <w:noWrap/>
                  <w:vAlign w:val="center"/>
                  <w:hideMark/>
                </w:tcPr>
                <w:p w:rsidR="00FA53D4" w:rsidRPr="004260EC" w:rsidRDefault="00FA53D4" w:rsidP="005266FC">
                  <w:pPr>
                    <w:spacing w:after="0" w:line="240" w:lineRule="auto"/>
                    <w:jc w:val="center"/>
                    <w:rPr>
                      <w:rFonts w:ascii="Times New Roman" w:eastAsia="Times New Roman" w:hAnsi="Times New Roman" w:cs="Times New Roman"/>
                      <w:sz w:val="14"/>
                      <w:szCs w:val="14"/>
                    </w:rPr>
                  </w:pPr>
                </w:p>
              </w:tc>
              <w:tc>
                <w:tcPr>
                  <w:tcW w:w="879" w:type="dxa"/>
                  <w:tcBorders>
                    <w:left w:val="single" w:sz="4" w:space="0" w:color="0070C0"/>
                  </w:tcBorders>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months</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6 months</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1 year</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years</w:t>
                  </w:r>
                </w:p>
              </w:tc>
              <w:tc>
                <w:tcPr>
                  <w:tcW w:w="879" w:type="dxa"/>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5 years</w:t>
                  </w:r>
                </w:p>
              </w:tc>
            </w:tr>
            <w:tr w:rsidR="00E93BA2" w:rsidRPr="00C84839" w:rsidTr="005266FC">
              <w:trPr>
                <w:trHeight w:val="283"/>
              </w:trPr>
              <w:tc>
                <w:tcPr>
                  <w:tcW w:w="879" w:type="dxa"/>
                  <w:tcBorders>
                    <w:right w:val="single" w:sz="4" w:space="0" w:color="0070C0"/>
                  </w:tcBorders>
                  <w:shd w:val="clear" w:color="auto" w:fill="auto"/>
                  <w:noWrap/>
                  <w:vAlign w:val="center"/>
                  <w:hideMark/>
                </w:tcPr>
                <w:p w:rsidR="00E93BA2" w:rsidRPr="004260EC" w:rsidRDefault="00E93BA2" w:rsidP="00E93BA2">
                  <w:pPr>
                    <w:spacing w:after="0" w:line="240" w:lineRule="auto"/>
                    <w:jc w:val="center"/>
                    <w:rPr>
                      <w:rFonts w:ascii="Times New Roman" w:eastAsia="Times New Roman" w:hAnsi="Times New Roman" w:cs="Times New Roman"/>
                      <w:b/>
                      <w:bCs/>
                      <w:color w:val="000000"/>
                      <w:sz w:val="14"/>
                      <w:szCs w:val="14"/>
                    </w:rPr>
                  </w:pPr>
                  <w:proofErr w:type="spellStart"/>
                  <w:r w:rsidRPr="004260EC">
                    <w:rPr>
                      <w:rFonts w:ascii="Times New Roman" w:eastAsia="Times New Roman" w:hAnsi="Times New Roman" w:cs="Times New Roman"/>
                      <w:b/>
                      <w:bCs/>
                      <w:color w:val="000000"/>
                      <w:sz w:val="14"/>
                      <w:szCs w:val="14"/>
                    </w:rPr>
                    <w:t>VNMid</w:t>
                  </w:r>
                  <w:r>
                    <w:rPr>
                      <w:rFonts w:ascii="Times New Roman" w:eastAsia="Times New Roman" w:hAnsi="Times New Roman" w:cs="Times New Roman"/>
                      <w:b/>
                      <w:bCs/>
                      <w:color w:val="000000"/>
                      <w:sz w:val="14"/>
                      <w:szCs w:val="14"/>
                    </w:rPr>
                    <w:t>cap</w:t>
                  </w:r>
                  <w:proofErr w:type="spellEnd"/>
                </w:p>
              </w:tc>
              <w:tc>
                <w:tcPr>
                  <w:tcW w:w="879" w:type="dxa"/>
                  <w:tcBorders>
                    <w:left w:val="single" w:sz="4" w:space="0" w:color="0070C0"/>
                  </w:tcBorders>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87.26%</w:t>
                  </w:r>
                </w:p>
              </w:tc>
              <w:tc>
                <w:tcPr>
                  <w:tcW w:w="87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78.70%</w:t>
                  </w:r>
                </w:p>
              </w:tc>
              <w:tc>
                <w:tcPr>
                  <w:tcW w:w="87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86.02%</w:t>
                  </w:r>
                </w:p>
              </w:tc>
              <w:tc>
                <w:tcPr>
                  <w:tcW w:w="87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78.81%</w:t>
                  </w:r>
                </w:p>
              </w:tc>
              <w:tc>
                <w:tcPr>
                  <w:tcW w:w="87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78.50%</w:t>
                  </w:r>
                </w:p>
              </w:tc>
            </w:tr>
          </w:tbl>
          <w:p w:rsidR="00FA53D4" w:rsidRPr="00CE5502" w:rsidRDefault="00FA53D4" w:rsidP="005266FC">
            <w:pPr>
              <w:jc w:val="center"/>
              <w:rPr>
                <w:rFonts w:ascii="Times New Roman" w:hAnsi="Times New Roman" w:cs="Times New Roman"/>
                <w:b/>
                <w:sz w:val="16"/>
                <w:szCs w:val="18"/>
              </w:rPr>
            </w:pPr>
          </w:p>
        </w:tc>
      </w:tr>
      <w:tr w:rsidR="00FA53D4" w:rsidRPr="006D2F55" w:rsidTr="00474BB6">
        <w:tblPrEx>
          <w:tblCellMar>
            <w:left w:w="108" w:type="dxa"/>
            <w:right w:w="108" w:type="dxa"/>
          </w:tblCellMar>
        </w:tblPrEx>
        <w:trPr>
          <w:gridAfter w:val="1"/>
          <w:wAfter w:w="49" w:type="dxa"/>
          <w:trHeight w:hRule="exact" w:val="298"/>
          <w:jc w:val="center"/>
        </w:trPr>
        <w:tc>
          <w:tcPr>
            <w:tcW w:w="5575" w:type="dxa"/>
            <w:gridSpan w:val="2"/>
            <w:shd w:val="clear" w:color="auto" w:fill="0070C0"/>
            <w:vAlign w:val="center"/>
          </w:tcPr>
          <w:p w:rsidR="00FA53D4" w:rsidRPr="00C84839" w:rsidRDefault="00FA53D4" w:rsidP="005266FC">
            <w:pPr>
              <w:tabs>
                <w:tab w:val="center" w:pos="2700"/>
                <w:tab w:val="left" w:pos="4236"/>
              </w:tabs>
              <w:rPr>
                <w:rFonts w:ascii="Times New Roman" w:hAnsi="Times New Roman" w:cs="Times New Roman"/>
                <w:b/>
                <w:color w:val="FFFFFF" w:themeColor="background1"/>
              </w:rPr>
            </w:pPr>
            <w:r w:rsidRPr="00C84839">
              <w:rPr>
                <w:rFonts w:ascii="Times New Roman" w:hAnsi="Times New Roman" w:cs="Times New Roman"/>
                <w:b/>
                <w:color w:val="FFFFFF" w:themeColor="background1"/>
              </w:rPr>
              <w:t>Ind</w:t>
            </w:r>
            <w:r>
              <w:rPr>
                <w:rFonts w:ascii="Times New Roman" w:hAnsi="Times New Roman" w:cs="Times New Roman"/>
                <w:b/>
                <w:color w:val="FFFFFF" w:themeColor="background1"/>
              </w:rPr>
              <w:t>ex</w:t>
            </w:r>
            <w:r w:rsidRPr="00C84839">
              <w:rPr>
                <w:rFonts w:ascii="Times New Roman" w:hAnsi="Times New Roman" w:cs="Times New Roman"/>
                <w:b/>
                <w:color w:val="FFFFFF" w:themeColor="background1"/>
              </w:rPr>
              <w:t xml:space="preserve"> Performance</w:t>
            </w:r>
          </w:p>
        </w:tc>
        <w:tc>
          <w:tcPr>
            <w:tcW w:w="5637" w:type="dxa"/>
            <w:gridSpan w:val="6"/>
            <w:vAlign w:val="center"/>
          </w:tcPr>
          <w:p w:rsidR="00FA53D4" w:rsidRPr="006D2F55" w:rsidRDefault="00FA53D4" w:rsidP="005266FC">
            <w:pPr>
              <w:tabs>
                <w:tab w:val="center" w:pos="2700"/>
                <w:tab w:val="left" w:pos="4236"/>
              </w:tabs>
              <w:rPr>
                <w:rFonts w:ascii="Times New Roman" w:hAnsi="Times New Roman" w:cs="Times New Roman"/>
              </w:rPr>
            </w:pPr>
          </w:p>
        </w:tc>
      </w:tr>
      <w:tr w:rsidR="00FA53D4" w:rsidRPr="006D2F55" w:rsidTr="00474BB6">
        <w:tblPrEx>
          <w:tblCellMar>
            <w:left w:w="108" w:type="dxa"/>
            <w:right w:w="108" w:type="dxa"/>
          </w:tblCellMar>
        </w:tblPrEx>
        <w:trPr>
          <w:gridAfter w:val="1"/>
          <w:wAfter w:w="49" w:type="dxa"/>
          <w:trHeight w:hRule="exact" w:val="1099"/>
          <w:jc w:val="center"/>
        </w:trPr>
        <w:tc>
          <w:tcPr>
            <w:tcW w:w="11212" w:type="dxa"/>
            <w:gridSpan w:val="8"/>
            <w:vAlign w:val="center"/>
          </w:tcPr>
          <w:tbl>
            <w:tblPr>
              <w:tblW w:w="10616" w:type="dxa"/>
              <w:jc w:val="center"/>
              <w:tblBorders>
                <w:top w:val="single" w:sz="12" w:space="0" w:color="0070C0"/>
                <w:bottom w:val="single" w:sz="12" w:space="0" w:color="0070C0"/>
                <w:insideH w:val="single" w:sz="12" w:space="0" w:color="0070C0"/>
              </w:tblBorders>
              <w:tblLayout w:type="fixed"/>
              <w:tblLook w:val="04A0" w:firstRow="1" w:lastRow="0" w:firstColumn="1" w:lastColumn="0" w:noHBand="0" w:noVBand="1"/>
            </w:tblPr>
            <w:tblGrid>
              <w:gridCol w:w="1139"/>
              <w:gridCol w:w="769"/>
              <w:gridCol w:w="686"/>
              <w:gridCol w:w="709"/>
              <w:gridCol w:w="839"/>
              <w:gridCol w:w="928"/>
              <w:gridCol w:w="928"/>
              <w:gridCol w:w="696"/>
              <w:gridCol w:w="766"/>
              <w:gridCol w:w="771"/>
              <w:gridCol w:w="1236"/>
              <w:gridCol w:w="1149"/>
            </w:tblGrid>
            <w:tr w:rsidR="00FA53D4" w:rsidRPr="00F26A05" w:rsidTr="005266FC">
              <w:trPr>
                <w:trHeight w:val="268"/>
                <w:jc w:val="center"/>
              </w:trPr>
              <w:tc>
                <w:tcPr>
                  <w:tcW w:w="536" w:type="pct"/>
                  <w:tcBorders>
                    <w:right w:val="single" w:sz="12" w:space="0" w:color="0070C0"/>
                  </w:tcBorders>
                  <w:vAlign w:val="center"/>
                </w:tcPr>
                <w:p w:rsidR="00FA53D4" w:rsidRPr="00C572C8" w:rsidRDefault="00FA53D4" w:rsidP="005266FC">
                  <w:pPr>
                    <w:spacing w:after="0" w:line="240" w:lineRule="auto"/>
                    <w:jc w:val="center"/>
                    <w:rPr>
                      <w:rFonts w:ascii="Times New Roman" w:eastAsia="Times New Roman" w:hAnsi="Times New Roman" w:cs="Times New Roman"/>
                      <w:sz w:val="16"/>
                      <w:szCs w:val="16"/>
                    </w:rPr>
                  </w:pPr>
                </w:p>
              </w:tc>
              <w:tc>
                <w:tcPr>
                  <w:tcW w:w="3340" w:type="pct"/>
                  <w:gridSpan w:val="9"/>
                  <w:tcBorders>
                    <w:left w:val="single" w:sz="12" w:space="0" w:color="0070C0"/>
                    <w:right w:val="single" w:sz="12" w:space="0" w:color="0070C0"/>
                  </w:tcBorders>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sz w:val="14"/>
                      <w:szCs w:val="14"/>
                    </w:rPr>
                  </w:pPr>
                  <w:r w:rsidRPr="00F26A05">
                    <w:rPr>
                      <w:rFonts w:ascii="Times New Roman" w:eastAsia="Times New Roman" w:hAnsi="Times New Roman" w:cs="Times New Roman"/>
                      <w:b/>
                      <w:bCs/>
                      <w:sz w:val="14"/>
                      <w:szCs w:val="14"/>
                    </w:rPr>
                    <w:t>Performance (%)</w:t>
                  </w:r>
                </w:p>
              </w:tc>
              <w:tc>
                <w:tcPr>
                  <w:tcW w:w="1123" w:type="pct"/>
                  <w:gridSpan w:val="2"/>
                  <w:tcBorders>
                    <w:left w:val="single" w:sz="12" w:space="0" w:color="0070C0"/>
                  </w:tcBorders>
                  <w:shd w:val="clear" w:color="auto" w:fill="auto"/>
                  <w:noWrap/>
                  <w:vAlign w:val="center"/>
                  <w:hideMark/>
                </w:tcPr>
                <w:p w:rsidR="00FA53D4" w:rsidRPr="00F26A05" w:rsidRDefault="00FA53D4" w:rsidP="005266FC">
                  <w:pPr>
                    <w:spacing w:after="0" w:line="240" w:lineRule="auto"/>
                    <w:jc w:val="center"/>
                    <w:rPr>
                      <w:rFonts w:ascii="Times New Roman" w:eastAsia="Times New Roman" w:hAnsi="Times New Roman" w:cs="Times New Roman"/>
                      <w:b/>
                      <w:bCs/>
                      <w:sz w:val="14"/>
                      <w:szCs w:val="14"/>
                    </w:rPr>
                  </w:pPr>
                  <w:r w:rsidRPr="00F26A05">
                    <w:rPr>
                      <w:rFonts w:ascii="Times New Roman" w:eastAsia="Times New Roman" w:hAnsi="Times New Roman" w:cs="Times New Roman"/>
                      <w:b/>
                      <w:bCs/>
                      <w:sz w:val="14"/>
                      <w:szCs w:val="14"/>
                    </w:rPr>
                    <w:t>Annualized Performance (%)</w:t>
                  </w:r>
                </w:p>
              </w:tc>
            </w:tr>
            <w:tr w:rsidR="00FA53D4" w:rsidRPr="0048469C" w:rsidTr="005266FC">
              <w:trPr>
                <w:trHeight w:val="255"/>
                <w:jc w:val="center"/>
              </w:trPr>
              <w:tc>
                <w:tcPr>
                  <w:tcW w:w="536" w:type="pct"/>
                  <w:tcBorders>
                    <w:right w:val="single" w:sz="12" w:space="0" w:color="0070C0"/>
                  </w:tcBorders>
                  <w:vAlign w:val="center"/>
                </w:tcPr>
                <w:p w:rsidR="00FA53D4" w:rsidRPr="001404C8" w:rsidRDefault="00FA53D4" w:rsidP="005266FC">
                  <w:pPr>
                    <w:spacing w:after="0" w:line="240" w:lineRule="auto"/>
                    <w:jc w:val="center"/>
                    <w:rPr>
                      <w:rFonts w:ascii="Times New Roman" w:eastAsia="Times New Roman" w:hAnsi="Times New Roman" w:cs="Times New Roman"/>
                      <w:b/>
                      <w:bCs/>
                      <w:color w:val="000000"/>
                      <w:sz w:val="14"/>
                      <w:szCs w:val="14"/>
                    </w:rPr>
                  </w:pPr>
                </w:p>
              </w:tc>
              <w:tc>
                <w:tcPr>
                  <w:tcW w:w="362" w:type="pct"/>
                  <w:tcBorders>
                    <w:left w:val="single" w:sz="12" w:space="0" w:color="0070C0"/>
                  </w:tcBorders>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Pr>
                      <w:rFonts w:ascii="Times New Roman" w:eastAsia="Times New Roman" w:hAnsi="Times New Roman" w:cs="Times New Roman"/>
                      <w:b/>
                      <w:bCs/>
                      <w:sz w:val="14"/>
                      <w:szCs w:val="14"/>
                    </w:rPr>
                    <w:t>6</w:t>
                  </w:r>
                </w:p>
              </w:tc>
              <w:tc>
                <w:tcPr>
                  <w:tcW w:w="323" w:type="pct"/>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Pr>
                      <w:rFonts w:ascii="Times New Roman" w:eastAsia="Times New Roman" w:hAnsi="Times New Roman" w:cs="Times New Roman"/>
                      <w:b/>
                      <w:bCs/>
                      <w:sz w:val="14"/>
                      <w:szCs w:val="14"/>
                    </w:rPr>
                    <w:t>7</w:t>
                  </w:r>
                </w:p>
              </w:tc>
              <w:tc>
                <w:tcPr>
                  <w:tcW w:w="334" w:type="pct"/>
                  <w:tcBorders>
                    <w:right w:val="single" w:sz="12" w:space="0" w:color="0070C0"/>
                  </w:tcBorders>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Pr>
                      <w:rFonts w:ascii="Times New Roman" w:eastAsia="Times New Roman" w:hAnsi="Times New Roman" w:cs="Times New Roman"/>
                      <w:b/>
                      <w:bCs/>
                      <w:sz w:val="14"/>
                      <w:szCs w:val="14"/>
                    </w:rPr>
                    <w:t>8</w:t>
                  </w:r>
                </w:p>
              </w:tc>
              <w:tc>
                <w:tcPr>
                  <w:tcW w:w="395" w:type="pct"/>
                  <w:tcBorders>
                    <w:left w:val="single" w:sz="12" w:space="0" w:color="0070C0"/>
                  </w:tcBorders>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Pr>
                      <w:rFonts w:ascii="Times New Roman" w:eastAsia="Times New Roman" w:hAnsi="Times New Roman" w:cs="Times New Roman"/>
                      <w:b/>
                      <w:bCs/>
                      <w:color w:val="000000"/>
                      <w:sz w:val="14"/>
                      <w:szCs w:val="16"/>
                    </w:rPr>
                    <w:t>1</w:t>
                  </w:r>
                  <w:r w:rsidRPr="0048469C">
                    <w:rPr>
                      <w:rFonts w:ascii="Times New Roman" w:eastAsia="Times New Roman" w:hAnsi="Times New Roman" w:cs="Times New Roman"/>
                      <w:b/>
                      <w:bCs/>
                      <w:color w:val="000000"/>
                      <w:sz w:val="14"/>
                      <w:szCs w:val="16"/>
                    </w:rPr>
                    <w:t xml:space="preserve"> month</w:t>
                  </w:r>
                </w:p>
              </w:tc>
              <w:tc>
                <w:tcPr>
                  <w:tcW w:w="437" w:type="pct"/>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months</w:t>
                  </w:r>
                </w:p>
              </w:tc>
              <w:tc>
                <w:tcPr>
                  <w:tcW w:w="437" w:type="pct"/>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6 months</w:t>
                  </w:r>
                </w:p>
              </w:tc>
              <w:tc>
                <w:tcPr>
                  <w:tcW w:w="328" w:type="pct"/>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1 year</w:t>
                  </w:r>
                </w:p>
              </w:tc>
              <w:tc>
                <w:tcPr>
                  <w:tcW w:w="361" w:type="pct"/>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years</w:t>
                  </w:r>
                </w:p>
              </w:tc>
              <w:tc>
                <w:tcPr>
                  <w:tcW w:w="363" w:type="pct"/>
                  <w:tcBorders>
                    <w:right w:val="single" w:sz="12" w:space="0" w:color="0070C0"/>
                  </w:tcBorders>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5 years</w:t>
                  </w:r>
                </w:p>
              </w:tc>
              <w:tc>
                <w:tcPr>
                  <w:tcW w:w="582" w:type="pct"/>
                  <w:tcBorders>
                    <w:left w:val="single" w:sz="12" w:space="0" w:color="0070C0"/>
                  </w:tcBorders>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years</w:t>
                  </w:r>
                </w:p>
              </w:tc>
              <w:tc>
                <w:tcPr>
                  <w:tcW w:w="541" w:type="pct"/>
                  <w:shd w:val="clear" w:color="auto" w:fill="auto"/>
                  <w:noWrap/>
                  <w:vAlign w:val="center"/>
                  <w:hideMark/>
                </w:tcPr>
                <w:p w:rsidR="00FA53D4" w:rsidRPr="0048469C" w:rsidRDefault="00FA53D4" w:rsidP="005266FC">
                  <w:pPr>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5 years</w:t>
                  </w:r>
                </w:p>
              </w:tc>
            </w:tr>
            <w:tr w:rsidR="00E93BA2" w:rsidRPr="00B00831" w:rsidTr="005266FC">
              <w:trPr>
                <w:trHeight w:val="274"/>
                <w:jc w:val="center"/>
              </w:trPr>
              <w:tc>
                <w:tcPr>
                  <w:tcW w:w="536" w:type="pct"/>
                  <w:tcBorders>
                    <w:right w:val="single" w:sz="12" w:space="0" w:color="0070C0"/>
                  </w:tcBorders>
                  <w:vAlign w:val="center"/>
                </w:tcPr>
                <w:p w:rsidR="00E93BA2" w:rsidRPr="001404C8" w:rsidRDefault="00E93BA2" w:rsidP="00E93BA2">
                  <w:pPr>
                    <w:spacing w:after="0" w:line="240" w:lineRule="auto"/>
                    <w:jc w:val="center"/>
                    <w:rPr>
                      <w:rFonts w:ascii="Times New Roman" w:eastAsia="Times New Roman" w:hAnsi="Times New Roman" w:cs="Times New Roman"/>
                      <w:b/>
                      <w:bCs/>
                      <w:color w:val="000000"/>
                      <w:sz w:val="14"/>
                      <w:szCs w:val="14"/>
                    </w:rPr>
                  </w:pPr>
                  <w:proofErr w:type="spellStart"/>
                  <w:r w:rsidRPr="00763C82">
                    <w:rPr>
                      <w:rFonts w:ascii="Times New Roman" w:eastAsia="Times New Roman" w:hAnsi="Times New Roman" w:cs="Times New Roman"/>
                      <w:b/>
                      <w:bCs/>
                      <w:color w:val="000000"/>
                      <w:sz w:val="14"/>
                      <w:szCs w:val="14"/>
                    </w:rPr>
                    <w:t>VN</w:t>
                  </w:r>
                  <w:r>
                    <w:rPr>
                      <w:rFonts w:ascii="Times New Roman" w:eastAsia="Times New Roman" w:hAnsi="Times New Roman" w:cs="Times New Roman"/>
                      <w:b/>
                      <w:bCs/>
                      <w:color w:val="000000"/>
                      <w:sz w:val="14"/>
                      <w:szCs w:val="14"/>
                    </w:rPr>
                    <w:t>Mid</w:t>
                  </w:r>
                  <w:proofErr w:type="spellEnd"/>
                </w:p>
              </w:tc>
              <w:tc>
                <w:tcPr>
                  <w:tcW w:w="362" w:type="pct"/>
                  <w:tcBorders>
                    <w:left w:val="single" w:sz="12" w:space="0" w:color="0070C0"/>
                  </w:tcBorders>
                  <w:shd w:val="clear" w:color="auto" w:fill="auto"/>
                  <w:noWrap/>
                  <w:vAlign w:val="center"/>
                  <w:hideMark/>
                </w:tcPr>
                <w:p w:rsidR="00E93BA2" w:rsidRPr="0011453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11453A">
                    <w:rPr>
                      <w:rFonts w:ascii="Times New Roman" w:hAnsi="Times New Roman" w:cs="Times New Roman"/>
                      <w:color w:val="000000"/>
                      <w:sz w:val="14"/>
                      <w:szCs w:val="14"/>
                    </w:rPr>
                    <w:t>8.24%</w:t>
                  </w:r>
                </w:p>
              </w:tc>
              <w:tc>
                <w:tcPr>
                  <w:tcW w:w="323" w:type="pct"/>
                  <w:shd w:val="clear" w:color="auto" w:fill="auto"/>
                  <w:noWrap/>
                  <w:vAlign w:val="center"/>
                  <w:hideMark/>
                </w:tcPr>
                <w:p w:rsidR="00E93BA2" w:rsidRPr="0011453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11453A">
                    <w:rPr>
                      <w:rFonts w:ascii="Times New Roman" w:hAnsi="Times New Roman" w:cs="Times New Roman"/>
                      <w:color w:val="000000"/>
                      <w:sz w:val="14"/>
                      <w:szCs w:val="14"/>
                    </w:rPr>
                    <w:t>32.38%</w:t>
                  </w:r>
                </w:p>
              </w:tc>
              <w:tc>
                <w:tcPr>
                  <w:tcW w:w="334" w:type="pct"/>
                  <w:tcBorders>
                    <w:right w:val="single" w:sz="12" w:space="0" w:color="0070C0"/>
                  </w:tcBorders>
                  <w:shd w:val="clear" w:color="auto" w:fill="auto"/>
                  <w:noWrap/>
                  <w:vAlign w:val="center"/>
                  <w:hideMark/>
                </w:tcPr>
                <w:p w:rsidR="00E93BA2" w:rsidRPr="0011453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11453A">
                    <w:rPr>
                      <w:rFonts w:ascii="Times New Roman" w:hAnsi="Times New Roman" w:cs="Times New Roman"/>
                      <w:color w:val="000000"/>
                      <w:sz w:val="14"/>
                      <w:szCs w:val="14"/>
                    </w:rPr>
                    <w:t>-12.78%</w:t>
                  </w:r>
                </w:p>
              </w:tc>
              <w:tc>
                <w:tcPr>
                  <w:tcW w:w="395" w:type="pct"/>
                  <w:tcBorders>
                    <w:left w:val="single" w:sz="12" w:space="0" w:color="0070C0"/>
                  </w:tcBorders>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-1.21%</w:t>
                  </w:r>
                </w:p>
              </w:tc>
              <w:tc>
                <w:tcPr>
                  <w:tcW w:w="437" w:type="pct"/>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-3.84%</w:t>
                  </w:r>
                </w:p>
              </w:tc>
              <w:tc>
                <w:tcPr>
                  <w:tcW w:w="437" w:type="pct"/>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2.18%</w:t>
                  </w:r>
                </w:p>
              </w:tc>
              <w:tc>
                <w:tcPr>
                  <w:tcW w:w="328" w:type="pct"/>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-2.50%</w:t>
                  </w:r>
                </w:p>
              </w:tc>
              <w:tc>
                <w:tcPr>
                  <w:tcW w:w="361" w:type="pct"/>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22.54%</w:t>
                  </w:r>
                </w:p>
              </w:tc>
              <w:tc>
                <w:tcPr>
                  <w:tcW w:w="363" w:type="pct"/>
                  <w:tcBorders>
                    <w:right w:val="single" w:sz="12" w:space="0" w:color="0070C0"/>
                  </w:tcBorders>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71.00%</w:t>
                  </w:r>
                </w:p>
              </w:tc>
              <w:tc>
                <w:tcPr>
                  <w:tcW w:w="582" w:type="pct"/>
                  <w:tcBorders>
                    <w:left w:val="single" w:sz="12" w:space="0" w:color="0070C0"/>
                  </w:tcBorders>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7.01%</w:t>
                  </w:r>
                </w:p>
              </w:tc>
              <w:tc>
                <w:tcPr>
                  <w:tcW w:w="541" w:type="pct"/>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11.33%</w:t>
                  </w:r>
                </w:p>
              </w:tc>
            </w:tr>
          </w:tbl>
          <w:p w:rsidR="00FA53D4" w:rsidRPr="006D2F55" w:rsidRDefault="00FA53D4" w:rsidP="005266FC">
            <w:pPr>
              <w:rPr>
                <w:rFonts w:ascii="Arial" w:eastAsia="Times New Roman" w:hAnsi="Arial" w:cs="Arial"/>
                <w:color w:val="000000"/>
                <w:sz w:val="24"/>
                <w:szCs w:val="24"/>
              </w:rPr>
            </w:pPr>
          </w:p>
        </w:tc>
      </w:tr>
      <w:tr w:rsidR="00FA53D4" w:rsidRPr="006D2F55" w:rsidTr="00474BB6">
        <w:tblPrEx>
          <w:tblCellMar>
            <w:left w:w="108" w:type="dxa"/>
            <w:right w:w="108" w:type="dxa"/>
          </w:tblCellMar>
        </w:tblPrEx>
        <w:trPr>
          <w:gridAfter w:val="1"/>
          <w:wAfter w:w="49" w:type="dxa"/>
          <w:trHeight w:val="298"/>
          <w:jc w:val="center"/>
        </w:trPr>
        <w:tc>
          <w:tcPr>
            <w:tcW w:w="5575" w:type="dxa"/>
            <w:gridSpan w:val="2"/>
            <w:shd w:val="clear" w:color="auto" w:fill="0070C0"/>
            <w:vAlign w:val="center"/>
          </w:tcPr>
          <w:p w:rsidR="00FA53D4" w:rsidRPr="006D2F55" w:rsidRDefault="00FA53D4" w:rsidP="005266FC">
            <w:pPr>
              <w:rPr>
                <w:rFonts w:ascii="Times New Roman" w:eastAsia="Times New Roman" w:hAnsi="Times New Roman" w:cs="Times New Roman"/>
              </w:rPr>
            </w:pPr>
            <w:r>
              <w:rPr>
                <w:rFonts w:ascii="Times New Roman" w:hAnsi="Times New Roman" w:cs="Times New Roman"/>
                <w:b/>
                <w:color w:val="FFFFFF" w:themeColor="background1"/>
              </w:rPr>
              <w:t>Sector Breakdown</w:t>
            </w:r>
          </w:p>
        </w:tc>
        <w:tc>
          <w:tcPr>
            <w:tcW w:w="5637" w:type="dxa"/>
            <w:gridSpan w:val="6"/>
            <w:shd w:val="clear" w:color="auto" w:fill="0070C0"/>
            <w:vAlign w:val="center"/>
          </w:tcPr>
          <w:p w:rsidR="00FA53D4" w:rsidRPr="006D2F55" w:rsidRDefault="00FA53D4" w:rsidP="005266FC">
            <w:pPr>
              <w:rPr>
                <w:rFonts w:ascii="Times New Roman" w:eastAsia="Times New Roman" w:hAnsi="Times New Roman" w:cs="Times New Roman"/>
              </w:rPr>
            </w:pPr>
            <w:r w:rsidRPr="0006583E">
              <w:rPr>
                <w:rFonts w:ascii="Times New Roman" w:eastAsia="Times New Roman" w:hAnsi="Times New Roman" w:cs="Times New Roman"/>
                <w:b/>
                <w:color w:val="FFFFFF" w:themeColor="background1"/>
                <w:szCs w:val="12"/>
              </w:rPr>
              <w:t>Top-10 Constituents of Market Capitalization</w:t>
            </w:r>
          </w:p>
        </w:tc>
      </w:tr>
      <w:tr w:rsidR="00FA53D4" w:rsidRPr="006D2F55" w:rsidTr="00F5321A">
        <w:tblPrEx>
          <w:tblCellMar>
            <w:left w:w="108" w:type="dxa"/>
            <w:right w:w="108" w:type="dxa"/>
          </w:tblCellMar>
        </w:tblPrEx>
        <w:trPr>
          <w:gridAfter w:val="1"/>
          <w:wAfter w:w="49" w:type="dxa"/>
          <w:trHeight w:hRule="exact" w:val="4303"/>
          <w:jc w:val="center"/>
        </w:trPr>
        <w:tc>
          <w:tcPr>
            <w:tcW w:w="5575" w:type="dxa"/>
            <w:gridSpan w:val="2"/>
          </w:tcPr>
          <w:p w:rsidR="00FA53D4" w:rsidRPr="006D2F55" w:rsidRDefault="001D5280" w:rsidP="005266FC">
            <w:pPr>
              <w:jc w:val="center"/>
              <w:rPr>
                <w:rFonts w:ascii="Arial" w:eastAsia="Times New Roman" w:hAnsi="Arial" w:cs="Arial"/>
              </w:rPr>
            </w:pPr>
            <w:r>
              <w:rPr>
                <w:rFonts w:ascii="Arial" w:eastAsia="Times New Roman" w:hAnsi="Arial" w:cs="Arial"/>
                <w:noProof/>
              </w:rPr>
              <w:drawing>
                <wp:inline distT="0" distB="0" distL="0" distR="0" wp14:anchorId="7951D2FD">
                  <wp:extent cx="3474720" cy="26155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4720" cy="2615565"/>
                          </a:xfrm>
                          <a:prstGeom prst="rect">
                            <a:avLst/>
                          </a:prstGeom>
                          <a:noFill/>
                        </pic:spPr>
                      </pic:pic>
                    </a:graphicData>
                  </a:graphic>
                </wp:inline>
              </w:drawing>
            </w:r>
            <w:r w:rsidR="00F5321A">
              <w:rPr>
                <w:noProof/>
              </w:rPr>
              <w:drawing>
                <wp:inline distT="0" distB="0" distL="0" distR="0" wp14:anchorId="454AE846" wp14:editId="12C32CC3">
                  <wp:extent cx="3402965" cy="2567940"/>
                  <wp:effectExtent l="0" t="0" r="6985" b="3810"/>
                  <wp:docPr id="31" name="Chart 31">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5637" w:type="dxa"/>
            <w:gridSpan w:val="6"/>
            <w:vMerge w:val="restart"/>
          </w:tcPr>
          <w:tbl>
            <w:tblPr>
              <w:tblpPr w:leftFromText="180" w:rightFromText="180" w:vertAnchor="page" w:horzAnchor="margin" w:tblpXSpec="center" w:tblpY="128"/>
              <w:tblOverlap w:val="never"/>
              <w:tblW w:w="5059"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434"/>
              <w:gridCol w:w="700"/>
              <w:gridCol w:w="1545"/>
              <w:gridCol w:w="1649"/>
              <w:gridCol w:w="731"/>
            </w:tblGrid>
            <w:tr w:rsidR="00FA53D4" w:rsidRPr="00BB4F59" w:rsidTr="005266FC">
              <w:trPr>
                <w:trHeight w:val="343"/>
              </w:trPr>
              <w:tc>
                <w:tcPr>
                  <w:tcW w:w="434" w:type="dxa"/>
                  <w:shd w:val="clear" w:color="auto" w:fill="auto"/>
                  <w:noWrap/>
                  <w:vAlign w:val="center"/>
                  <w:hideMark/>
                </w:tcPr>
                <w:p w:rsidR="00FA53D4" w:rsidRPr="002F4991" w:rsidRDefault="00FA53D4" w:rsidP="005266FC">
                  <w:pPr>
                    <w:spacing w:after="0" w:line="240" w:lineRule="auto"/>
                    <w:jc w:val="center"/>
                    <w:rPr>
                      <w:rFonts w:ascii="Times New Roman" w:eastAsia="Times New Roman" w:hAnsi="Times New Roman" w:cs="Times New Roman"/>
                      <w:b/>
                      <w:bCs/>
                      <w:color w:val="000000"/>
                      <w:sz w:val="14"/>
                      <w:szCs w:val="14"/>
                    </w:rPr>
                  </w:pPr>
                </w:p>
              </w:tc>
              <w:tc>
                <w:tcPr>
                  <w:tcW w:w="700" w:type="dxa"/>
                  <w:shd w:val="clear" w:color="auto" w:fill="auto"/>
                  <w:noWrap/>
                  <w:vAlign w:val="center"/>
                  <w:hideMark/>
                </w:tcPr>
                <w:p w:rsidR="00FA53D4" w:rsidRPr="007F1789" w:rsidRDefault="00FA53D4" w:rsidP="005266FC">
                  <w:pPr>
                    <w:spacing w:after="0" w:line="240" w:lineRule="auto"/>
                    <w:ind w:right="-53"/>
                    <w:jc w:val="center"/>
                    <w:rPr>
                      <w:rFonts w:ascii="Times New Roman" w:eastAsia="Times New Roman" w:hAnsi="Times New Roman" w:cs="Times New Roman"/>
                      <w:b/>
                      <w:bCs/>
                      <w:color w:val="000000"/>
                      <w:sz w:val="14"/>
                      <w:szCs w:val="14"/>
                    </w:rPr>
                  </w:pPr>
                  <w:r w:rsidRPr="007F1789">
                    <w:rPr>
                      <w:rFonts w:ascii="Times New Roman" w:eastAsia="Times New Roman" w:hAnsi="Times New Roman" w:cs="Times New Roman"/>
                      <w:b/>
                      <w:bCs/>
                      <w:color w:val="000000"/>
                      <w:sz w:val="14"/>
                      <w:szCs w:val="14"/>
                    </w:rPr>
                    <w:t>Stock</w:t>
                  </w:r>
                </w:p>
              </w:tc>
              <w:tc>
                <w:tcPr>
                  <w:tcW w:w="1545" w:type="dxa"/>
                  <w:shd w:val="clear" w:color="auto" w:fill="auto"/>
                  <w:noWrap/>
                  <w:vAlign w:val="center"/>
                  <w:hideMark/>
                </w:tcPr>
                <w:p w:rsidR="00FA53D4" w:rsidRPr="007F1789" w:rsidRDefault="00FA53D4" w:rsidP="005266FC">
                  <w:pPr>
                    <w:spacing w:after="0" w:line="240" w:lineRule="auto"/>
                    <w:jc w:val="center"/>
                    <w:rPr>
                      <w:rFonts w:ascii="Times New Roman" w:eastAsia="Times New Roman" w:hAnsi="Times New Roman" w:cs="Times New Roman"/>
                      <w:b/>
                      <w:bCs/>
                      <w:color w:val="000000"/>
                      <w:sz w:val="14"/>
                      <w:szCs w:val="14"/>
                    </w:rPr>
                  </w:pPr>
                  <w:r w:rsidRPr="007F1789">
                    <w:rPr>
                      <w:rFonts w:ascii="Times New Roman" w:eastAsia="Times New Roman" w:hAnsi="Times New Roman" w:cs="Times New Roman"/>
                      <w:b/>
                      <w:bCs/>
                      <w:color w:val="000000"/>
                      <w:sz w:val="14"/>
                      <w:szCs w:val="14"/>
                    </w:rPr>
                    <w:t>Sector</w:t>
                  </w:r>
                </w:p>
              </w:tc>
              <w:tc>
                <w:tcPr>
                  <w:tcW w:w="1649" w:type="dxa"/>
                  <w:shd w:val="clear" w:color="auto" w:fill="auto"/>
                  <w:noWrap/>
                  <w:vAlign w:val="center"/>
                  <w:hideMark/>
                </w:tcPr>
                <w:p w:rsidR="00FA53D4" w:rsidRPr="007F1789" w:rsidRDefault="00FA53D4" w:rsidP="005266FC">
                  <w:pPr>
                    <w:spacing w:after="0" w:line="240" w:lineRule="auto"/>
                    <w:jc w:val="center"/>
                    <w:rPr>
                      <w:rFonts w:ascii="Times New Roman" w:eastAsia="Times New Roman" w:hAnsi="Times New Roman" w:cs="Times New Roman"/>
                      <w:b/>
                      <w:bCs/>
                      <w:color w:val="000000"/>
                      <w:sz w:val="14"/>
                      <w:szCs w:val="14"/>
                    </w:rPr>
                  </w:pPr>
                  <w:r>
                    <w:rPr>
                      <w:rFonts w:ascii="Times New Roman" w:eastAsia="Times New Roman" w:hAnsi="Times New Roman" w:cs="Times New Roman"/>
                      <w:b/>
                      <w:bCs/>
                      <w:color w:val="000000"/>
                      <w:sz w:val="14"/>
                      <w:szCs w:val="14"/>
                    </w:rPr>
                    <w:t>Free-</w:t>
                  </w:r>
                  <w:r w:rsidRPr="007F1789">
                    <w:rPr>
                      <w:rFonts w:ascii="Times New Roman" w:eastAsia="Times New Roman" w:hAnsi="Times New Roman" w:cs="Times New Roman"/>
                      <w:b/>
                      <w:bCs/>
                      <w:color w:val="000000"/>
                      <w:sz w:val="14"/>
                      <w:szCs w:val="14"/>
                    </w:rPr>
                    <w:t>float adjusted market-cap (</w:t>
                  </w:r>
                  <w:r>
                    <w:rPr>
                      <w:rFonts w:ascii="Times New Roman" w:eastAsia="Times New Roman" w:hAnsi="Times New Roman" w:cs="Times New Roman"/>
                      <w:b/>
                      <w:bCs/>
                      <w:color w:val="000000"/>
                      <w:sz w:val="14"/>
                      <w:szCs w:val="14"/>
                    </w:rPr>
                    <w:t>Billion VND</w:t>
                  </w:r>
                  <w:r w:rsidRPr="007F1789">
                    <w:rPr>
                      <w:rFonts w:ascii="Times New Roman" w:eastAsia="Times New Roman" w:hAnsi="Times New Roman" w:cs="Times New Roman"/>
                      <w:b/>
                      <w:bCs/>
                      <w:color w:val="000000"/>
                      <w:sz w:val="14"/>
                      <w:szCs w:val="14"/>
                    </w:rPr>
                    <w:t>)</w:t>
                  </w:r>
                </w:p>
              </w:tc>
              <w:tc>
                <w:tcPr>
                  <w:tcW w:w="731" w:type="dxa"/>
                  <w:shd w:val="clear" w:color="auto" w:fill="auto"/>
                  <w:noWrap/>
                  <w:vAlign w:val="center"/>
                  <w:hideMark/>
                </w:tcPr>
                <w:p w:rsidR="00FA53D4" w:rsidRPr="007F1789" w:rsidRDefault="00FA53D4" w:rsidP="005266FC">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Weight</w:t>
                  </w:r>
                </w:p>
                <w:p w:rsidR="00FA53D4" w:rsidRPr="007F1789" w:rsidRDefault="00FA53D4" w:rsidP="005266FC">
                  <w:pPr>
                    <w:spacing w:after="0" w:line="240" w:lineRule="auto"/>
                    <w:jc w:val="center"/>
                    <w:rPr>
                      <w:rFonts w:ascii="Times New Roman" w:eastAsia="Times New Roman" w:hAnsi="Times New Roman" w:cs="Times New Roman"/>
                      <w:b/>
                      <w:bCs/>
                      <w:color w:val="000000"/>
                      <w:sz w:val="14"/>
                      <w:szCs w:val="14"/>
                    </w:rPr>
                  </w:pPr>
                  <w:r w:rsidRPr="007F1789">
                    <w:rPr>
                      <w:rFonts w:ascii="Times New Roman" w:eastAsia="Times New Roman" w:hAnsi="Times New Roman" w:cs="Times New Roman"/>
                      <w:b/>
                      <w:sz w:val="14"/>
                      <w:szCs w:val="14"/>
                    </w:rPr>
                    <w:t>(%)</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1</w:t>
                  </w:r>
                </w:p>
              </w:tc>
              <w:tc>
                <w:tcPr>
                  <w:tcW w:w="700"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TPB</w:t>
                  </w:r>
                </w:p>
              </w:tc>
              <w:tc>
                <w:tcPr>
                  <w:tcW w:w="1545"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Financials </w:t>
                  </w:r>
                </w:p>
              </w:tc>
              <w:tc>
                <w:tcPr>
                  <w:tcW w:w="164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11,181</w:t>
                  </w:r>
                </w:p>
              </w:tc>
              <w:tc>
                <w:tcPr>
                  <w:tcW w:w="731"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7.74%</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2</w:t>
                  </w:r>
                </w:p>
              </w:tc>
              <w:tc>
                <w:tcPr>
                  <w:tcW w:w="700"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KDH</w:t>
                  </w:r>
                </w:p>
              </w:tc>
              <w:tc>
                <w:tcPr>
                  <w:tcW w:w="1545"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Real Estate </w:t>
                  </w:r>
                </w:p>
              </w:tc>
              <w:tc>
                <w:tcPr>
                  <w:tcW w:w="164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7,701</w:t>
                  </w:r>
                </w:p>
              </w:tc>
              <w:tc>
                <w:tcPr>
                  <w:tcW w:w="731"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5.33%</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3</w:t>
                  </w:r>
                </w:p>
              </w:tc>
              <w:tc>
                <w:tcPr>
                  <w:tcW w:w="700"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GEX</w:t>
                  </w:r>
                </w:p>
              </w:tc>
              <w:tc>
                <w:tcPr>
                  <w:tcW w:w="1545"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Industrials </w:t>
                  </w:r>
                </w:p>
              </w:tc>
              <w:tc>
                <w:tcPr>
                  <w:tcW w:w="164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6,815</w:t>
                  </w:r>
                </w:p>
              </w:tc>
              <w:tc>
                <w:tcPr>
                  <w:tcW w:w="731"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4.72%</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4</w:t>
                  </w:r>
                </w:p>
              </w:tc>
              <w:tc>
                <w:tcPr>
                  <w:tcW w:w="700"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HNG</w:t>
                  </w:r>
                </w:p>
              </w:tc>
              <w:tc>
                <w:tcPr>
                  <w:tcW w:w="1545"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Consumer Staples </w:t>
                  </w:r>
                </w:p>
              </w:tc>
              <w:tc>
                <w:tcPr>
                  <w:tcW w:w="164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5,392</w:t>
                  </w:r>
                </w:p>
              </w:tc>
              <w:tc>
                <w:tcPr>
                  <w:tcW w:w="731"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3.73%</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5</w:t>
                  </w:r>
                </w:p>
              </w:tc>
              <w:tc>
                <w:tcPr>
                  <w:tcW w:w="700"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KBC</w:t>
                  </w:r>
                </w:p>
              </w:tc>
              <w:tc>
                <w:tcPr>
                  <w:tcW w:w="1545"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Real Estate </w:t>
                  </w:r>
                </w:p>
              </w:tc>
              <w:tc>
                <w:tcPr>
                  <w:tcW w:w="164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5,073</w:t>
                  </w:r>
                </w:p>
              </w:tc>
              <w:tc>
                <w:tcPr>
                  <w:tcW w:w="731"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3.51%</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6</w:t>
                  </w:r>
                </w:p>
              </w:tc>
              <w:tc>
                <w:tcPr>
                  <w:tcW w:w="700"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DXG</w:t>
                  </w:r>
                </w:p>
              </w:tc>
              <w:tc>
                <w:tcPr>
                  <w:tcW w:w="1545"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Real Estate </w:t>
                  </w:r>
                </w:p>
              </w:tc>
              <w:tc>
                <w:tcPr>
                  <w:tcW w:w="164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4,801</w:t>
                  </w:r>
                </w:p>
              </w:tc>
              <w:tc>
                <w:tcPr>
                  <w:tcW w:w="731"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3.32%</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7</w:t>
                  </w:r>
                </w:p>
              </w:tc>
              <w:tc>
                <w:tcPr>
                  <w:tcW w:w="700"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TCH</w:t>
                  </w:r>
                </w:p>
              </w:tc>
              <w:tc>
                <w:tcPr>
                  <w:tcW w:w="1545"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Industrials </w:t>
                  </w:r>
                </w:p>
              </w:tc>
              <w:tc>
                <w:tcPr>
                  <w:tcW w:w="164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4,022</w:t>
                  </w:r>
                </w:p>
              </w:tc>
              <w:tc>
                <w:tcPr>
                  <w:tcW w:w="731"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2.78%</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8</w:t>
                  </w:r>
                </w:p>
              </w:tc>
              <w:tc>
                <w:tcPr>
                  <w:tcW w:w="700"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NLG</w:t>
                  </w:r>
                </w:p>
              </w:tc>
              <w:tc>
                <w:tcPr>
                  <w:tcW w:w="1545"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Real Estate </w:t>
                  </w:r>
                </w:p>
              </w:tc>
              <w:tc>
                <w:tcPr>
                  <w:tcW w:w="164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3,887</w:t>
                  </w:r>
                </w:p>
              </w:tc>
              <w:tc>
                <w:tcPr>
                  <w:tcW w:w="731"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2.69%</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9</w:t>
                  </w:r>
                </w:p>
              </w:tc>
              <w:tc>
                <w:tcPr>
                  <w:tcW w:w="700"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VHC</w:t>
                  </w:r>
                </w:p>
              </w:tc>
              <w:tc>
                <w:tcPr>
                  <w:tcW w:w="1545"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Consumer Staples </w:t>
                  </w:r>
                </w:p>
              </w:tc>
              <w:tc>
                <w:tcPr>
                  <w:tcW w:w="164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3,784</w:t>
                  </w:r>
                </w:p>
              </w:tc>
              <w:tc>
                <w:tcPr>
                  <w:tcW w:w="731"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2.62%</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10</w:t>
                  </w:r>
                </w:p>
              </w:tc>
              <w:tc>
                <w:tcPr>
                  <w:tcW w:w="700"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PVD</w:t>
                  </w:r>
                </w:p>
              </w:tc>
              <w:tc>
                <w:tcPr>
                  <w:tcW w:w="1545"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 xml:space="preserve"> Energy </w:t>
                  </w:r>
                </w:p>
              </w:tc>
              <w:tc>
                <w:tcPr>
                  <w:tcW w:w="1649"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3,580</w:t>
                  </w:r>
                </w:p>
              </w:tc>
              <w:tc>
                <w:tcPr>
                  <w:tcW w:w="731" w:type="dxa"/>
                  <w:shd w:val="clear" w:color="auto" w:fill="auto"/>
                  <w:noWrap/>
                  <w:vAlign w:val="center"/>
                  <w:hideMark/>
                </w:tcPr>
                <w:p w:rsidR="00E93BA2" w:rsidRPr="00C44ECA"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2.48%</w:t>
                  </w:r>
                </w:p>
              </w:tc>
            </w:tr>
            <w:tr w:rsidR="00E93BA2" w:rsidRPr="00BB4F59" w:rsidTr="005266FC">
              <w:trPr>
                <w:trHeight w:val="343"/>
              </w:trPr>
              <w:tc>
                <w:tcPr>
                  <w:tcW w:w="434" w:type="dxa"/>
                  <w:shd w:val="clear" w:color="auto" w:fill="auto"/>
                  <w:noWrap/>
                  <w:vAlign w:val="center"/>
                  <w:hideMark/>
                </w:tcPr>
                <w:p w:rsidR="00E93BA2" w:rsidRPr="00C572C8" w:rsidRDefault="00E93BA2" w:rsidP="00E93BA2">
                  <w:pPr>
                    <w:spacing w:after="0" w:line="240" w:lineRule="auto"/>
                    <w:jc w:val="center"/>
                    <w:rPr>
                      <w:rFonts w:ascii="Times New Roman" w:eastAsia="Times New Roman" w:hAnsi="Times New Roman" w:cs="Times New Roman"/>
                      <w:color w:val="000000"/>
                      <w:sz w:val="14"/>
                      <w:szCs w:val="14"/>
                    </w:rPr>
                  </w:pPr>
                </w:p>
              </w:tc>
              <w:tc>
                <w:tcPr>
                  <w:tcW w:w="700" w:type="dxa"/>
                  <w:shd w:val="clear" w:color="auto" w:fill="auto"/>
                  <w:noWrap/>
                  <w:vAlign w:val="center"/>
                  <w:hideMark/>
                </w:tcPr>
                <w:p w:rsidR="00E93BA2" w:rsidRDefault="00E93BA2" w:rsidP="00E93BA2">
                  <w:pPr>
                    <w:autoSpaceDE w:val="0"/>
                    <w:autoSpaceDN w:val="0"/>
                    <w:adjustRightInd w:val="0"/>
                    <w:spacing w:after="0" w:line="240" w:lineRule="auto"/>
                    <w:jc w:val="center"/>
                    <w:rPr>
                      <w:rFonts w:ascii="Times New Roman" w:hAnsi="Times New Roman" w:cs="Times New Roman"/>
                      <w:color w:val="000000"/>
                      <w:sz w:val="14"/>
                      <w:szCs w:val="14"/>
                    </w:rPr>
                  </w:pPr>
                </w:p>
              </w:tc>
              <w:tc>
                <w:tcPr>
                  <w:tcW w:w="1545" w:type="dxa"/>
                  <w:shd w:val="clear" w:color="auto" w:fill="auto"/>
                  <w:noWrap/>
                  <w:vAlign w:val="center"/>
                  <w:hideMark/>
                </w:tcPr>
                <w:p w:rsidR="00E93BA2" w:rsidRDefault="00E93BA2" w:rsidP="00E93BA2">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Total</w:t>
                  </w:r>
                </w:p>
              </w:tc>
              <w:tc>
                <w:tcPr>
                  <w:tcW w:w="1649" w:type="dxa"/>
                  <w:shd w:val="clear" w:color="auto" w:fill="auto"/>
                  <w:noWrap/>
                  <w:vAlign w:val="center"/>
                  <w:hideMark/>
                </w:tcPr>
                <w:p w:rsidR="00E93BA2" w:rsidRDefault="00E93BA2" w:rsidP="00E93BA2">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56,235</w:t>
                  </w:r>
                </w:p>
              </w:tc>
              <w:tc>
                <w:tcPr>
                  <w:tcW w:w="731" w:type="dxa"/>
                  <w:shd w:val="clear" w:color="auto" w:fill="auto"/>
                  <w:noWrap/>
                  <w:vAlign w:val="center"/>
                  <w:hideMark/>
                </w:tcPr>
                <w:p w:rsidR="00E93BA2" w:rsidRDefault="00E93BA2" w:rsidP="00E93BA2">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38.93%</w:t>
                  </w:r>
                </w:p>
              </w:tc>
            </w:tr>
          </w:tbl>
          <w:p w:rsidR="00FA53D4" w:rsidRDefault="00FA53D4" w:rsidP="005266FC">
            <w:pPr>
              <w:rPr>
                <w:rFonts w:ascii="Arial" w:eastAsia="Times New Roman" w:hAnsi="Arial" w:cs="Arial"/>
              </w:rPr>
            </w:pPr>
          </w:p>
          <w:tbl>
            <w:tblPr>
              <w:tblStyle w:val="TableGrid"/>
              <w:tblW w:w="0" w:type="auto"/>
              <w:tblLayout w:type="fixed"/>
              <w:tblLook w:val="04A0" w:firstRow="1" w:lastRow="0" w:firstColumn="1" w:lastColumn="0" w:noHBand="0" w:noVBand="1"/>
            </w:tblPr>
            <w:tblGrid>
              <w:gridCol w:w="4985"/>
            </w:tblGrid>
            <w:tr w:rsidR="00FA53D4" w:rsidTr="005266FC">
              <w:trPr>
                <w:trHeight w:val="1884"/>
              </w:trPr>
              <w:tc>
                <w:tcPr>
                  <w:tcW w:w="4985" w:type="dxa"/>
                </w:tcPr>
                <w:p w:rsidR="00FA53D4" w:rsidRPr="00022FED" w:rsidRDefault="00FA53D4" w:rsidP="005266FC">
                  <w:pPr>
                    <w:jc w:val="both"/>
                    <w:rPr>
                      <w:rFonts w:ascii="Times New Roman" w:hAnsi="Times New Roman" w:cs="Times New Roman"/>
                      <w:sz w:val="14"/>
                      <w:szCs w:val="16"/>
                    </w:rPr>
                  </w:pPr>
                  <w:r w:rsidRPr="00022FED">
                    <w:rPr>
                      <w:rFonts w:ascii="Times New Roman" w:hAnsi="Times New Roman" w:cs="Times New Roman"/>
                      <w:b/>
                      <w:sz w:val="14"/>
                      <w:szCs w:val="16"/>
                    </w:rPr>
                    <w:t xml:space="preserve">Disclaimer: </w:t>
                  </w:r>
                  <w:r w:rsidRPr="00022FED">
                    <w:rPr>
                      <w:rFonts w:ascii="Times New Roman" w:hAnsi="Times New Roman" w:cs="Times New Roman"/>
                      <w:sz w:val="14"/>
                      <w:szCs w:val="16"/>
                    </w:rPr>
                    <w:t>"</w:t>
                  </w:r>
                  <w:r w:rsidRPr="00022FED">
                    <w:rPr>
                      <w:rFonts w:ascii="Times New Roman" w:hAnsi="Times New Roman" w:cs="Times New Roman"/>
                      <w:b/>
                      <w:sz w:val="14"/>
                      <w:szCs w:val="16"/>
                    </w:rPr>
                    <w:t>VN30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VNMidcap</w:t>
                  </w:r>
                  <w:proofErr w:type="spellEnd"/>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VNSmallCap</w:t>
                  </w:r>
                  <w:proofErr w:type="spellEnd"/>
                  <w:r w:rsidRPr="00022FED">
                    <w:rPr>
                      <w:rFonts w:ascii="Times New Roman" w:hAnsi="Times New Roman" w:cs="Times New Roman"/>
                      <w:sz w:val="14"/>
                      <w:szCs w:val="16"/>
                    </w:rPr>
                    <w:t>", “</w:t>
                  </w:r>
                  <w:r w:rsidRPr="00022FED">
                    <w:rPr>
                      <w:rFonts w:ascii="Times New Roman" w:hAnsi="Times New Roman" w:cs="Times New Roman"/>
                      <w:b/>
                      <w:sz w:val="14"/>
                      <w:szCs w:val="16"/>
                    </w:rPr>
                    <w:t>VN100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sz w:val="14"/>
                      <w:szCs w:val="16"/>
                    </w:rPr>
                    <w:t>” and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b/>
                      <w:sz w:val="14"/>
                      <w:szCs w:val="16"/>
                    </w:rPr>
                    <w:t xml:space="preserve"> Sector</w:t>
                  </w:r>
                  <w:r w:rsidRPr="00022FED">
                    <w:rPr>
                      <w:rFonts w:ascii="Times New Roman" w:hAnsi="Times New Roman" w:cs="Times New Roman"/>
                      <w:sz w:val="14"/>
                      <w:szCs w:val="16"/>
                    </w:rPr>
                    <w:t>" (collectively called "</w:t>
                  </w:r>
                  <w:r w:rsidRPr="00022FED">
                    <w:rPr>
                      <w:rFonts w:ascii="Times New Roman" w:hAnsi="Times New Roman" w:cs="Times New Roman"/>
                      <w:b/>
                      <w:sz w:val="14"/>
                      <w:szCs w:val="16"/>
                    </w:rPr>
                    <w:t>HOSE-Index</w:t>
                  </w:r>
                  <w:r w:rsidRPr="00022FED">
                    <w:rPr>
                      <w:rFonts w:ascii="Times New Roman" w:hAnsi="Times New Roman" w:cs="Times New Roman"/>
                      <w:sz w:val="14"/>
                      <w:szCs w:val="16"/>
                    </w:rPr>
                    <w:t xml:space="preserve">") are the registered trademarks and/or service mark solely owned by, and proprietary to the </w:t>
                  </w:r>
                  <w:proofErr w:type="spellStart"/>
                  <w:r w:rsidRPr="00022FED">
                    <w:rPr>
                      <w:rFonts w:ascii="Times New Roman" w:hAnsi="Times New Roman" w:cs="Times New Roman"/>
                      <w:sz w:val="14"/>
                      <w:szCs w:val="16"/>
                    </w:rPr>
                    <w:t>Hochiminh</w:t>
                  </w:r>
                  <w:proofErr w:type="spellEnd"/>
                  <w:r w:rsidRPr="00022FED">
                    <w:rPr>
                      <w:rFonts w:ascii="Times New Roman" w:hAnsi="Times New Roman" w:cs="Times New Roman"/>
                      <w:sz w:val="14"/>
                      <w:szCs w:val="16"/>
                    </w:rPr>
                    <w:t xml:space="preserve"> Stock Exchange</w:t>
                  </w:r>
                  <w:r>
                    <w:rPr>
                      <w:rFonts w:ascii="Times New Roman" w:hAnsi="Times New Roman" w:cs="Times New Roman"/>
                      <w:sz w:val="14"/>
                      <w:szCs w:val="16"/>
                    </w:rPr>
                    <w:t xml:space="preserve"> (HOSE)</w:t>
                  </w:r>
                  <w:r w:rsidRPr="00022FED">
                    <w:rPr>
                      <w:rFonts w:ascii="Times New Roman" w:hAnsi="Times New Roman" w:cs="Times New Roman"/>
                      <w:sz w:val="14"/>
                      <w:szCs w:val="16"/>
                    </w:rPr>
                    <w:t xml:space="preserve">. HOSE-Index can be used to create a range of index-linked products including but not limited to tracker funds, derivatives, etc. Such product creation is subject to approval by HOSE. For more information, please contact via e-mail: </w:t>
                  </w:r>
                  <w:r w:rsidRPr="00022FED">
                    <w:rPr>
                      <w:rFonts w:ascii="Times New Roman" w:hAnsi="Times New Roman" w:cs="Times New Roman"/>
                      <w:i/>
                      <w:sz w:val="14"/>
                      <w:szCs w:val="16"/>
                    </w:rPr>
                    <w:t>index@hsx.vn</w:t>
                  </w:r>
                </w:p>
                <w:p w:rsidR="00FA53D4" w:rsidRPr="00D20BEE" w:rsidRDefault="00FA53D4" w:rsidP="005266FC">
                  <w:pPr>
                    <w:jc w:val="both"/>
                    <w:rPr>
                      <w:rFonts w:ascii="Times New Roman" w:hAnsi="Times New Roman" w:cs="Times New Roman"/>
                      <w:sz w:val="12"/>
                      <w:szCs w:val="12"/>
                    </w:rPr>
                  </w:pPr>
                  <w:r w:rsidRPr="00022FED">
                    <w:rPr>
                      <w:rFonts w:ascii="Times New Roman" w:hAnsi="Times New Roman" w:cs="Times New Roman"/>
                      <w:sz w:val="14"/>
                      <w:szCs w:val="16"/>
                    </w:rPr>
                    <w:t>All information is provided for information purposes only. Every effort is made to ensure that all information given in this publication is accurate, but no responsibility or liability can be accepted by HOSE nor its</w:t>
                  </w:r>
                  <w:r w:rsidRPr="00022FED">
                    <w:rPr>
                      <w:rFonts w:ascii="Times New Roman" w:hAnsi="Times New Roman" w:cs="Times New Roman"/>
                    </w:rPr>
                    <w:t xml:space="preserve"> </w:t>
                  </w:r>
                  <w:r w:rsidRPr="00022FED">
                    <w:rPr>
                      <w:rFonts w:ascii="Times New Roman" w:hAnsi="Times New Roman" w:cs="Times New Roman"/>
                      <w:sz w:val="14"/>
                      <w:szCs w:val="16"/>
                    </w:rPr>
                    <w:t>directors, officers, employees, partners or licensors for any errors or for any loss from use of this publication or any of the information or data contained herein.</w:t>
                  </w:r>
                </w:p>
              </w:tc>
            </w:tr>
          </w:tbl>
          <w:p w:rsidR="00FA53D4" w:rsidRDefault="00FA53D4" w:rsidP="005266FC">
            <w:pPr>
              <w:jc w:val="center"/>
              <w:rPr>
                <w:rFonts w:ascii="Arial" w:eastAsia="Times New Roman" w:hAnsi="Arial" w:cs="Arial"/>
              </w:rPr>
            </w:pPr>
          </w:p>
          <w:p w:rsidR="00FA53D4" w:rsidRDefault="00FA53D4" w:rsidP="005266FC">
            <w:pPr>
              <w:jc w:val="center"/>
              <w:rPr>
                <w:rFonts w:ascii="Arial" w:eastAsia="Times New Roman" w:hAnsi="Arial" w:cs="Arial"/>
              </w:rPr>
            </w:pPr>
          </w:p>
          <w:p w:rsidR="00FA53D4" w:rsidRDefault="00FA53D4" w:rsidP="005266FC">
            <w:pPr>
              <w:jc w:val="center"/>
              <w:rPr>
                <w:rFonts w:ascii="Arial" w:eastAsia="Times New Roman" w:hAnsi="Arial" w:cs="Arial"/>
              </w:rPr>
            </w:pPr>
          </w:p>
          <w:p w:rsidR="00FA53D4" w:rsidRPr="006D2F55" w:rsidRDefault="00FA53D4" w:rsidP="005266FC">
            <w:pPr>
              <w:jc w:val="center"/>
              <w:rPr>
                <w:rFonts w:ascii="Arial" w:eastAsia="Times New Roman" w:hAnsi="Arial" w:cs="Arial"/>
              </w:rPr>
            </w:pPr>
          </w:p>
        </w:tc>
      </w:tr>
      <w:tr w:rsidR="00FA53D4" w:rsidRPr="006D2F55" w:rsidTr="00474BB6">
        <w:tblPrEx>
          <w:tblCellMar>
            <w:left w:w="108" w:type="dxa"/>
            <w:right w:w="108" w:type="dxa"/>
          </w:tblCellMar>
        </w:tblPrEx>
        <w:trPr>
          <w:gridAfter w:val="1"/>
          <w:wAfter w:w="49" w:type="dxa"/>
          <w:trHeight w:val="302"/>
          <w:jc w:val="center"/>
        </w:trPr>
        <w:tc>
          <w:tcPr>
            <w:tcW w:w="5575" w:type="dxa"/>
            <w:gridSpan w:val="2"/>
            <w:shd w:val="clear" w:color="auto" w:fill="0070C0"/>
            <w:vAlign w:val="center"/>
          </w:tcPr>
          <w:p w:rsidR="00FA53D4" w:rsidRPr="00252690" w:rsidRDefault="00FA53D4" w:rsidP="005266FC">
            <w:pPr>
              <w:rPr>
                <w:rFonts w:ascii="Arial" w:eastAsia="Times New Roman" w:hAnsi="Arial" w:cs="Arial"/>
              </w:rPr>
            </w:pPr>
            <w:r w:rsidRPr="0006583E">
              <w:rPr>
                <w:rFonts w:ascii="Times New Roman" w:eastAsia="Times New Roman" w:hAnsi="Times New Roman" w:cs="Times New Roman"/>
                <w:b/>
                <w:color w:val="FFFFFF" w:themeColor="background1"/>
                <w:szCs w:val="12"/>
              </w:rPr>
              <w:t>Top-5 Sectors of Market Capitalization</w:t>
            </w:r>
          </w:p>
        </w:tc>
        <w:tc>
          <w:tcPr>
            <w:tcW w:w="5637" w:type="dxa"/>
            <w:gridSpan w:val="6"/>
            <w:vMerge/>
          </w:tcPr>
          <w:p w:rsidR="00FA53D4" w:rsidRPr="006D2F55" w:rsidRDefault="00FA53D4" w:rsidP="005266FC">
            <w:pPr>
              <w:jc w:val="center"/>
              <w:rPr>
                <w:rFonts w:ascii="Arial" w:eastAsia="Times New Roman" w:hAnsi="Arial" w:cs="Arial"/>
              </w:rPr>
            </w:pPr>
          </w:p>
        </w:tc>
      </w:tr>
      <w:tr w:rsidR="00FA53D4" w:rsidRPr="006D2F55" w:rsidTr="00474BB6">
        <w:tblPrEx>
          <w:tblCellMar>
            <w:left w:w="108" w:type="dxa"/>
            <w:right w:w="108" w:type="dxa"/>
          </w:tblCellMar>
        </w:tblPrEx>
        <w:trPr>
          <w:gridAfter w:val="1"/>
          <w:wAfter w:w="49" w:type="dxa"/>
          <w:trHeight w:hRule="exact" w:val="2566"/>
          <w:jc w:val="center"/>
        </w:trPr>
        <w:tc>
          <w:tcPr>
            <w:tcW w:w="5575" w:type="dxa"/>
            <w:gridSpan w:val="2"/>
          </w:tcPr>
          <w:tbl>
            <w:tblPr>
              <w:tblpPr w:leftFromText="180" w:rightFromText="180" w:vertAnchor="page" w:horzAnchor="margin" w:tblpY="1"/>
              <w:tblOverlap w:val="never"/>
              <w:tblW w:w="5776"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1485"/>
              <w:gridCol w:w="1228"/>
              <w:gridCol w:w="2135"/>
              <w:gridCol w:w="928"/>
            </w:tblGrid>
            <w:tr w:rsidR="00FA53D4" w:rsidRPr="000C45C8" w:rsidTr="005266FC">
              <w:trPr>
                <w:trHeight w:val="328"/>
              </w:trPr>
              <w:tc>
                <w:tcPr>
                  <w:tcW w:w="1485" w:type="dxa"/>
                  <w:shd w:val="clear" w:color="auto" w:fill="auto"/>
                  <w:noWrap/>
                  <w:vAlign w:val="center"/>
                  <w:hideMark/>
                </w:tcPr>
                <w:p w:rsidR="00FA53D4" w:rsidRPr="007F1789" w:rsidRDefault="00FA53D4" w:rsidP="005266FC">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Sector</w:t>
                  </w:r>
                </w:p>
              </w:tc>
              <w:tc>
                <w:tcPr>
                  <w:tcW w:w="1228" w:type="dxa"/>
                  <w:shd w:val="clear" w:color="auto" w:fill="auto"/>
                  <w:noWrap/>
                  <w:vAlign w:val="center"/>
                  <w:hideMark/>
                </w:tcPr>
                <w:p w:rsidR="00FA53D4" w:rsidRPr="007F1789" w:rsidRDefault="00FA53D4" w:rsidP="005266FC">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Number of Companies</w:t>
                  </w:r>
                </w:p>
              </w:tc>
              <w:tc>
                <w:tcPr>
                  <w:tcW w:w="2135" w:type="dxa"/>
                  <w:vAlign w:val="center"/>
                </w:tcPr>
                <w:p w:rsidR="00FA53D4" w:rsidRPr="007F1789" w:rsidRDefault="00FA53D4" w:rsidP="005266FC">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Free-</w:t>
                  </w:r>
                  <w:r w:rsidRPr="007F1789">
                    <w:rPr>
                      <w:rFonts w:ascii="Times New Roman" w:eastAsia="Times New Roman" w:hAnsi="Times New Roman" w:cs="Times New Roman"/>
                      <w:b/>
                      <w:sz w:val="14"/>
                      <w:szCs w:val="14"/>
                    </w:rPr>
                    <w:t>float adjusted</w:t>
                  </w:r>
                </w:p>
                <w:p w:rsidR="00FA53D4" w:rsidRPr="007F1789" w:rsidRDefault="00FA53D4" w:rsidP="005266FC">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market-cap</w:t>
                  </w:r>
                  <w:r w:rsidRPr="007F1789">
                    <w:rPr>
                      <w:rFonts w:ascii="Times New Roman" w:eastAsia="Times New Roman" w:hAnsi="Times New Roman" w:cs="Times New Roman"/>
                      <w:b/>
                      <w:sz w:val="14"/>
                      <w:szCs w:val="14"/>
                    </w:rPr>
                    <w:t xml:space="preserve"> </w:t>
                  </w:r>
                  <w:r w:rsidRPr="007F1789">
                    <w:rPr>
                      <w:rFonts w:ascii="Times New Roman" w:eastAsia="Times New Roman" w:hAnsi="Times New Roman" w:cs="Times New Roman"/>
                      <w:b/>
                      <w:bCs/>
                      <w:color w:val="000000"/>
                      <w:sz w:val="14"/>
                      <w:szCs w:val="14"/>
                    </w:rPr>
                    <w:t>(</w:t>
                  </w:r>
                  <w:r>
                    <w:rPr>
                      <w:rFonts w:ascii="Times New Roman" w:eastAsia="Times New Roman" w:hAnsi="Times New Roman" w:cs="Times New Roman"/>
                      <w:b/>
                      <w:bCs/>
                      <w:color w:val="000000"/>
                      <w:sz w:val="14"/>
                      <w:szCs w:val="14"/>
                    </w:rPr>
                    <w:t>Billion VND</w:t>
                  </w:r>
                  <w:r w:rsidRPr="007F1789">
                    <w:rPr>
                      <w:rFonts w:ascii="Times New Roman" w:eastAsia="Times New Roman" w:hAnsi="Times New Roman" w:cs="Times New Roman"/>
                      <w:b/>
                      <w:bCs/>
                      <w:color w:val="000000"/>
                      <w:sz w:val="14"/>
                      <w:szCs w:val="14"/>
                    </w:rPr>
                    <w:t>)</w:t>
                  </w:r>
                </w:p>
              </w:tc>
              <w:tc>
                <w:tcPr>
                  <w:tcW w:w="928" w:type="dxa"/>
                  <w:vAlign w:val="center"/>
                </w:tcPr>
                <w:p w:rsidR="00FA53D4" w:rsidRPr="007F1789" w:rsidRDefault="00FA53D4" w:rsidP="005266FC">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Weight</w:t>
                  </w:r>
                </w:p>
                <w:p w:rsidR="00FA53D4" w:rsidRPr="007F1789" w:rsidRDefault="00FA53D4" w:rsidP="005266FC">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w:t>
                  </w:r>
                </w:p>
              </w:tc>
            </w:tr>
            <w:tr w:rsidR="00E93BA2" w:rsidRPr="000C45C8" w:rsidTr="005266FC">
              <w:trPr>
                <w:trHeight w:val="312"/>
              </w:trPr>
              <w:tc>
                <w:tcPr>
                  <w:tcW w:w="1485" w:type="dxa"/>
                  <w:shd w:val="clear" w:color="auto" w:fill="auto"/>
                  <w:noWrap/>
                  <w:vAlign w:val="center"/>
                  <w:hideMark/>
                </w:tcPr>
                <w:p w:rsidR="00E93BA2" w:rsidRPr="00E93BA2" w:rsidRDefault="00E93BA2" w:rsidP="00E93BA2">
                  <w:pPr>
                    <w:jc w:val="center"/>
                    <w:rPr>
                      <w:rFonts w:ascii="Times New Roman" w:hAnsi="Times New Roman" w:cs="Times New Roman"/>
                      <w:b/>
                      <w:bCs/>
                      <w:color w:val="000000"/>
                      <w:sz w:val="14"/>
                      <w:szCs w:val="14"/>
                    </w:rPr>
                  </w:pPr>
                  <w:r w:rsidRPr="00E93BA2">
                    <w:rPr>
                      <w:rFonts w:ascii="Times New Roman" w:hAnsi="Times New Roman" w:cs="Times New Roman"/>
                      <w:b/>
                      <w:bCs/>
                      <w:color w:val="000000"/>
                      <w:sz w:val="14"/>
                      <w:szCs w:val="14"/>
                    </w:rPr>
                    <w:t>Real Estate</w:t>
                  </w:r>
                </w:p>
              </w:tc>
              <w:tc>
                <w:tcPr>
                  <w:tcW w:w="1228"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13</w:t>
                  </w:r>
                </w:p>
              </w:tc>
              <w:tc>
                <w:tcPr>
                  <w:tcW w:w="2135" w:type="dxa"/>
                  <w:vAlign w:val="center"/>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35,338</w:t>
                  </w:r>
                </w:p>
              </w:tc>
              <w:tc>
                <w:tcPr>
                  <w:tcW w:w="928" w:type="dxa"/>
                  <w:vAlign w:val="center"/>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24.47%</w:t>
                  </w:r>
                </w:p>
              </w:tc>
            </w:tr>
            <w:tr w:rsidR="00E93BA2" w:rsidRPr="000C45C8" w:rsidTr="005266FC">
              <w:trPr>
                <w:trHeight w:val="312"/>
              </w:trPr>
              <w:tc>
                <w:tcPr>
                  <w:tcW w:w="1485" w:type="dxa"/>
                  <w:shd w:val="clear" w:color="auto" w:fill="auto"/>
                  <w:noWrap/>
                  <w:vAlign w:val="center"/>
                  <w:hideMark/>
                </w:tcPr>
                <w:p w:rsidR="00E93BA2" w:rsidRPr="00E93BA2" w:rsidRDefault="00E93BA2" w:rsidP="00E93BA2">
                  <w:pPr>
                    <w:jc w:val="center"/>
                    <w:rPr>
                      <w:rFonts w:ascii="Times New Roman" w:hAnsi="Times New Roman" w:cs="Times New Roman"/>
                      <w:b/>
                      <w:bCs/>
                      <w:color w:val="000000"/>
                      <w:sz w:val="14"/>
                      <w:szCs w:val="14"/>
                    </w:rPr>
                  </w:pPr>
                  <w:r w:rsidRPr="00E93BA2">
                    <w:rPr>
                      <w:rFonts w:ascii="Times New Roman" w:hAnsi="Times New Roman" w:cs="Times New Roman"/>
                      <w:b/>
                      <w:bCs/>
                      <w:color w:val="000000"/>
                      <w:sz w:val="14"/>
                      <w:szCs w:val="14"/>
                    </w:rPr>
                    <w:t>Industrials</w:t>
                  </w:r>
                </w:p>
              </w:tc>
              <w:tc>
                <w:tcPr>
                  <w:tcW w:w="1228"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13</w:t>
                  </w:r>
                </w:p>
              </w:tc>
              <w:tc>
                <w:tcPr>
                  <w:tcW w:w="2135" w:type="dxa"/>
                  <w:vAlign w:val="center"/>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29,308</w:t>
                  </w:r>
                </w:p>
              </w:tc>
              <w:tc>
                <w:tcPr>
                  <w:tcW w:w="928" w:type="dxa"/>
                  <w:vAlign w:val="center"/>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20.29%</w:t>
                  </w:r>
                </w:p>
              </w:tc>
            </w:tr>
            <w:tr w:rsidR="00E93BA2" w:rsidRPr="000C45C8" w:rsidTr="005266FC">
              <w:trPr>
                <w:trHeight w:val="312"/>
              </w:trPr>
              <w:tc>
                <w:tcPr>
                  <w:tcW w:w="1485" w:type="dxa"/>
                  <w:shd w:val="clear" w:color="auto" w:fill="auto"/>
                  <w:noWrap/>
                  <w:vAlign w:val="center"/>
                  <w:hideMark/>
                </w:tcPr>
                <w:p w:rsidR="00E93BA2" w:rsidRPr="00E93BA2" w:rsidRDefault="00E93BA2" w:rsidP="00E93BA2">
                  <w:pPr>
                    <w:jc w:val="center"/>
                    <w:rPr>
                      <w:rFonts w:ascii="Times New Roman" w:hAnsi="Times New Roman" w:cs="Times New Roman"/>
                      <w:b/>
                      <w:bCs/>
                      <w:color w:val="000000"/>
                      <w:sz w:val="14"/>
                      <w:szCs w:val="14"/>
                    </w:rPr>
                  </w:pPr>
                  <w:r w:rsidRPr="00E93BA2">
                    <w:rPr>
                      <w:rFonts w:ascii="Times New Roman" w:hAnsi="Times New Roman" w:cs="Times New Roman"/>
                      <w:b/>
                      <w:bCs/>
                      <w:color w:val="000000"/>
                      <w:sz w:val="14"/>
                      <w:szCs w:val="14"/>
                    </w:rPr>
                    <w:t>Financials</w:t>
                  </w:r>
                </w:p>
              </w:tc>
              <w:tc>
                <w:tcPr>
                  <w:tcW w:w="1228"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7</w:t>
                  </w:r>
                </w:p>
              </w:tc>
              <w:tc>
                <w:tcPr>
                  <w:tcW w:w="2135" w:type="dxa"/>
                  <w:vAlign w:val="center"/>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21,319</w:t>
                  </w:r>
                </w:p>
              </w:tc>
              <w:tc>
                <w:tcPr>
                  <w:tcW w:w="928" w:type="dxa"/>
                  <w:vAlign w:val="center"/>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14.76%</w:t>
                  </w:r>
                </w:p>
              </w:tc>
            </w:tr>
            <w:tr w:rsidR="00E93BA2" w:rsidRPr="000C45C8" w:rsidTr="005266FC">
              <w:trPr>
                <w:trHeight w:val="312"/>
              </w:trPr>
              <w:tc>
                <w:tcPr>
                  <w:tcW w:w="1485" w:type="dxa"/>
                  <w:shd w:val="clear" w:color="auto" w:fill="auto"/>
                  <w:noWrap/>
                  <w:vAlign w:val="center"/>
                  <w:hideMark/>
                </w:tcPr>
                <w:p w:rsidR="00E93BA2" w:rsidRPr="00E93BA2" w:rsidRDefault="00E93BA2" w:rsidP="00E93BA2">
                  <w:pPr>
                    <w:jc w:val="center"/>
                    <w:rPr>
                      <w:rFonts w:ascii="Times New Roman" w:hAnsi="Times New Roman" w:cs="Times New Roman"/>
                      <w:b/>
                      <w:bCs/>
                      <w:color w:val="000000"/>
                      <w:sz w:val="14"/>
                      <w:szCs w:val="14"/>
                    </w:rPr>
                  </w:pPr>
                  <w:r w:rsidRPr="00E93BA2">
                    <w:rPr>
                      <w:rFonts w:ascii="Times New Roman" w:hAnsi="Times New Roman" w:cs="Times New Roman"/>
                      <w:b/>
                      <w:bCs/>
                      <w:color w:val="000000"/>
                      <w:sz w:val="14"/>
                      <w:szCs w:val="14"/>
                    </w:rPr>
                    <w:t>Consumer Staples</w:t>
                  </w:r>
                </w:p>
              </w:tc>
              <w:tc>
                <w:tcPr>
                  <w:tcW w:w="1228"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8</w:t>
                  </w:r>
                </w:p>
              </w:tc>
              <w:tc>
                <w:tcPr>
                  <w:tcW w:w="2135" w:type="dxa"/>
                  <w:vAlign w:val="center"/>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20,495</w:t>
                  </w:r>
                </w:p>
              </w:tc>
              <w:tc>
                <w:tcPr>
                  <w:tcW w:w="928" w:type="dxa"/>
                  <w:vAlign w:val="center"/>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14.19%</w:t>
                  </w:r>
                </w:p>
              </w:tc>
            </w:tr>
            <w:tr w:rsidR="00E93BA2" w:rsidRPr="000C45C8" w:rsidTr="005266FC">
              <w:trPr>
                <w:trHeight w:val="312"/>
              </w:trPr>
              <w:tc>
                <w:tcPr>
                  <w:tcW w:w="1485" w:type="dxa"/>
                  <w:shd w:val="clear" w:color="auto" w:fill="auto"/>
                  <w:noWrap/>
                  <w:vAlign w:val="center"/>
                  <w:hideMark/>
                </w:tcPr>
                <w:p w:rsidR="00E93BA2" w:rsidRPr="00E93BA2" w:rsidRDefault="00E93BA2" w:rsidP="00E93BA2">
                  <w:pPr>
                    <w:jc w:val="center"/>
                    <w:rPr>
                      <w:rFonts w:ascii="Times New Roman" w:hAnsi="Times New Roman" w:cs="Times New Roman"/>
                      <w:b/>
                      <w:bCs/>
                      <w:color w:val="000000"/>
                      <w:sz w:val="14"/>
                      <w:szCs w:val="14"/>
                    </w:rPr>
                  </w:pPr>
                  <w:r w:rsidRPr="00E93BA2">
                    <w:rPr>
                      <w:rFonts w:ascii="Times New Roman" w:hAnsi="Times New Roman" w:cs="Times New Roman"/>
                      <w:b/>
                      <w:bCs/>
                      <w:color w:val="000000"/>
                      <w:sz w:val="14"/>
                      <w:szCs w:val="14"/>
                    </w:rPr>
                    <w:t>Materials</w:t>
                  </w:r>
                </w:p>
              </w:tc>
              <w:tc>
                <w:tcPr>
                  <w:tcW w:w="1228" w:type="dxa"/>
                  <w:shd w:val="clear" w:color="auto" w:fill="auto"/>
                  <w:noWrap/>
                  <w:vAlign w:val="center"/>
                  <w:hideMark/>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12</w:t>
                  </w:r>
                </w:p>
              </w:tc>
              <w:tc>
                <w:tcPr>
                  <w:tcW w:w="2135" w:type="dxa"/>
                  <w:vAlign w:val="center"/>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12,477</w:t>
                  </w:r>
                </w:p>
              </w:tc>
              <w:tc>
                <w:tcPr>
                  <w:tcW w:w="928" w:type="dxa"/>
                  <w:vAlign w:val="center"/>
                </w:tcPr>
                <w:p w:rsidR="00E93BA2" w:rsidRPr="00E93BA2" w:rsidRDefault="00E93BA2" w:rsidP="00E93BA2">
                  <w:pPr>
                    <w:jc w:val="center"/>
                    <w:rPr>
                      <w:rFonts w:ascii="Times New Roman" w:hAnsi="Times New Roman" w:cs="Times New Roman"/>
                      <w:color w:val="000000"/>
                      <w:sz w:val="14"/>
                      <w:szCs w:val="14"/>
                    </w:rPr>
                  </w:pPr>
                  <w:r w:rsidRPr="00E93BA2">
                    <w:rPr>
                      <w:rFonts w:ascii="Times New Roman" w:hAnsi="Times New Roman" w:cs="Times New Roman"/>
                      <w:color w:val="000000"/>
                      <w:sz w:val="14"/>
                      <w:szCs w:val="14"/>
                    </w:rPr>
                    <w:t>8.64%</w:t>
                  </w:r>
                </w:p>
              </w:tc>
            </w:tr>
          </w:tbl>
          <w:p w:rsidR="00FA53D4" w:rsidRPr="0006583E" w:rsidRDefault="00FA53D4" w:rsidP="005266FC">
            <w:pPr>
              <w:jc w:val="center"/>
              <w:rPr>
                <w:rFonts w:ascii="Times New Roman" w:eastAsia="Times New Roman" w:hAnsi="Times New Roman" w:cs="Times New Roman"/>
                <w:b/>
                <w:color w:val="FFFFFF" w:themeColor="background1"/>
                <w:szCs w:val="12"/>
              </w:rPr>
            </w:pPr>
          </w:p>
        </w:tc>
        <w:tc>
          <w:tcPr>
            <w:tcW w:w="5637" w:type="dxa"/>
            <w:gridSpan w:val="6"/>
            <w:vMerge/>
          </w:tcPr>
          <w:p w:rsidR="00FA53D4" w:rsidRPr="006D2F55" w:rsidRDefault="00FA53D4" w:rsidP="005266FC">
            <w:pPr>
              <w:jc w:val="center"/>
              <w:rPr>
                <w:rFonts w:ascii="Arial" w:eastAsia="Times New Roman" w:hAnsi="Arial" w:cs="Arial"/>
              </w:rPr>
            </w:pPr>
          </w:p>
        </w:tc>
      </w:tr>
    </w:tbl>
    <w:tbl>
      <w:tblPr>
        <w:tblStyle w:val="TableGrid"/>
        <w:tblpPr w:leftFromText="180" w:rightFromText="180" w:vertAnchor="text" w:horzAnchor="margin" w:tblpY="-71"/>
        <w:tblW w:w="113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10"/>
        <w:gridCol w:w="5565"/>
        <w:gridCol w:w="211"/>
        <w:gridCol w:w="39"/>
        <w:gridCol w:w="3091"/>
        <w:gridCol w:w="65"/>
        <w:gridCol w:w="2241"/>
        <w:gridCol w:w="39"/>
        <w:gridCol w:w="47"/>
      </w:tblGrid>
      <w:tr w:rsidR="009143ED" w:rsidRPr="006D2F55" w:rsidTr="00474BB6">
        <w:trPr>
          <w:gridAfter w:val="2"/>
          <w:wAfter w:w="86" w:type="dxa"/>
          <w:trHeight w:val="710"/>
        </w:trPr>
        <w:tc>
          <w:tcPr>
            <w:tcW w:w="8916" w:type="dxa"/>
            <w:gridSpan w:val="5"/>
            <w:shd w:val="clear" w:color="auto" w:fill="0070C0"/>
            <w:vAlign w:val="center"/>
          </w:tcPr>
          <w:p w:rsidR="009143ED" w:rsidRPr="006D2F55" w:rsidRDefault="009143ED" w:rsidP="009143ED">
            <w:pPr>
              <w:rPr>
                <w:rFonts w:ascii="Times New Roman" w:hAnsi="Times New Roman" w:cs="Times New Roman"/>
                <w:b/>
                <w:color w:val="FFFFFF" w:themeColor="background1"/>
                <w:sz w:val="52"/>
                <w:szCs w:val="52"/>
              </w:rPr>
            </w:pPr>
            <w:r>
              <w:rPr>
                <w:rFonts w:ascii="Times New Roman" w:hAnsi="Times New Roman" w:cs="Times New Roman"/>
                <w:b/>
                <w:color w:val="FFFFFF" w:themeColor="background1"/>
                <w:sz w:val="44"/>
                <w:szCs w:val="52"/>
              </w:rPr>
              <w:lastRenderedPageBreak/>
              <w:t>VN100 Index</w:t>
            </w:r>
          </w:p>
        </w:tc>
        <w:tc>
          <w:tcPr>
            <w:tcW w:w="2306" w:type="dxa"/>
            <w:gridSpan w:val="2"/>
            <w:shd w:val="clear" w:color="auto" w:fill="0070C0"/>
            <w:vAlign w:val="bottom"/>
          </w:tcPr>
          <w:p w:rsidR="009143ED" w:rsidRPr="00D6169B" w:rsidRDefault="009143ED" w:rsidP="009143ED">
            <w:pPr>
              <w:spacing w:after="120"/>
              <w:jc w:val="right"/>
              <w:rPr>
                <w:rFonts w:ascii="Times New Roman" w:eastAsia="Times New Roman" w:hAnsi="Times New Roman" w:cs="Times New Roman"/>
                <w:b/>
                <w:color w:val="FFFFFF" w:themeColor="background1"/>
                <w:sz w:val="18"/>
                <w:szCs w:val="18"/>
              </w:rPr>
            </w:pPr>
            <w:r w:rsidRPr="00D6169B">
              <w:rPr>
                <w:rFonts w:ascii="Times New Roman" w:eastAsia="Times New Roman" w:hAnsi="Times New Roman" w:cs="Times New Roman"/>
                <w:b/>
                <w:color w:val="FFFFFF" w:themeColor="background1"/>
                <w:sz w:val="18"/>
                <w:szCs w:val="18"/>
              </w:rPr>
              <w:t xml:space="preserve">Data as at: </w:t>
            </w:r>
            <w:r w:rsidR="00093CB9">
              <w:rPr>
                <w:rFonts w:ascii="Times New Roman" w:eastAsia="Times New Roman" w:hAnsi="Times New Roman" w:cs="Times New Roman"/>
                <w:b/>
                <w:color w:val="FFFFFF" w:themeColor="background1"/>
                <w:sz w:val="18"/>
                <w:szCs w:val="18"/>
              </w:rPr>
              <w:t>31</w:t>
            </w:r>
            <w:r w:rsidR="00F5321A">
              <w:rPr>
                <w:rFonts w:ascii="Times New Roman" w:eastAsia="Times New Roman" w:hAnsi="Times New Roman" w:cs="Times New Roman"/>
                <w:b/>
                <w:color w:val="FFFFFF" w:themeColor="background1"/>
                <w:sz w:val="18"/>
                <w:szCs w:val="18"/>
              </w:rPr>
              <w:t xml:space="preserve"> </w:t>
            </w:r>
            <w:r w:rsidR="00093CB9">
              <w:rPr>
                <w:rFonts w:ascii="Times New Roman" w:eastAsia="Times New Roman" w:hAnsi="Times New Roman" w:cs="Times New Roman"/>
                <w:b/>
                <w:color w:val="FFFFFF" w:themeColor="background1"/>
                <w:sz w:val="18"/>
                <w:szCs w:val="18"/>
              </w:rPr>
              <w:t xml:space="preserve">May </w:t>
            </w:r>
            <w:r>
              <w:rPr>
                <w:rFonts w:ascii="Times New Roman" w:eastAsia="Times New Roman" w:hAnsi="Times New Roman" w:cs="Times New Roman"/>
                <w:b/>
                <w:color w:val="FFFFFF" w:themeColor="background1"/>
                <w:sz w:val="18"/>
                <w:szCs w:val="18"/>
              </w:rPr>
              <w:t>2019</w:t>
            </w:r>
          </w:p>
        </w:tc>
      </w:tr>
      <w:tr w:rsidR="009143ED" w:rsidRPr="006D2F55" w:rsidTr="00474BB6">
        <w:trPr>
          <w:gridBefore w:val="1"/>
          <w:gridAfter w:val="2"/>
          <w:wBefore w:w="10" w:type="dxa"/>
          <w:wAfter w:w="86" w:type="dxa"/>
          <w:trHeight w:hRule="exact" w:val="447"/>
        </w:trPr>
        <w:tc>
          <w:tcPr>
            <w:tcW w:w="11212" w:type="dxa"/>
            <w:gridSpan w:val="6"/>
            <w:vAlign w:val="center"/>
          </w:tcPr>
          <w:p w:rsidR="009143ED" w:rsidRPr="00EC5BD1" w:rsidRDefault="009143ED" w:rsidP="009143ED">
            <w:pPr>
              <w:jc w:val="both"/>
              <w:rPr>
                <w:rFonts w:ascii="Times New Roman" w:hAnsi="Times New Roman" w:cs="Times New Roman"/>
                <w:b/>
                <w:sz w:val="16"/>
                <w:szCs w:val="16"/>
              </w:rPr>
            </w:pPr>
            <w:r w:rsidRPr="001704E5">
              <w:rPr>
                <w:rFonts w:ascii="Times New Roman" w:hAnsi="Times New Roman" w:cs="Times New Roman"/>
                <w:b/>
                <w:sz w:val="16"/>
                <w:szCs w:val="16"/>
              </w:rPr>
              <w:t xml:space="preserve">VN100 </w:t>
            </w:r>
            <w:r w:rsidRPr="001704E5">
              <w:rPr>
                <w:rFonts w:ascii="Times New Roman" w:hAnsi="Times New Roman" w:cs="Times New Roman"/>
                <w:sz w:val="16"/>
                <w:szCs w:val="16"/>
              </w:rPr>
              <w:t xml:space="preserve">is a market-capitalization weighted index combining constituents from both VN30 and </w:t>
            </w:r>
            <w:proofErr w:type="spellStart"/>
            <w:r w:rsidRPr="001704E5">
              <w:rPr>
                <w:rFonts w:ascii="Times New Roman" w:hAnsi="Times New Roman" w:cs="Times New Roman"/>
                <w:sz w:val="16"/>
                <w:szCs w:val="16"/>
              </w:rPr>
              <w:t>VNMidcap</w:t>
            </w:r>
            <w:proofErr w:type="spellEnd"/>
            <w:r w:rsidRPr="001704E5">
              <w:rPr>
                <w:rFonts w:ascii="Times New Roman" w:hAnsi="Times New Roman" w:cs="Times New Roman"/>
                <w:sz w:val="16"/>
                <w:szCs w:val="16"/>
              </w:rPr>
              <w:t>.</w:t>
            </w:r>
          </w:p>
        </w:tc>
      </w:tr>
      <w:tr w:rsidR="009143ED" w:rsidRPr="006D2F55" w:rsidTr="00474BB6">
        <w:trPr>
          <w:gridBefore w:val="1"/>
          <w:gridAfter w:val="1"/>
          <w:wBefore w:w="10" w:type="dxa"/>
          <w:wAfter w:w="47" w:type="dxa"/>
          <w:trHeight w:hRule="exact" w:val="302"/>
        </w:trPr>
        <w:tc>
          <w:tcPr>
            <w:tcW w:w="5565" w:type="dxa"/>
            <w:shd w:val="clear" w:color="auto" w:fill="0070C0"/>
            <w:vAlign w:val="center"/>
          </w:tcPr>
          <w:p w:rsidR="009143ED" w:rsidRPr="006D2F55" w:rsidRDefault="009143ED" w:rsidP="009143ED">
            <w:pPr>
              <w:tabs>
                <w:tab w:val="center" w:pos="2700"/>
                <w:tab w:val="left" w:pos="4236"/>
              </w:tabs>
              <w:rPr>
                <w:rFonts w:ascii="Times New Roman" w:hAnsi="Times New Roman" w:cs="Times New Roman"/>
              </w:rPr>
            </w:pPr>
            <w:r>
              <w:rPr>
                <w:rFonts w:ascii="Times New Roman" w:hAnsi="Times New Roman" w:cs="Times New Roman"/>
                <w:b/>
                <w:color w:val="FFFFFF" w:themeColor="background1"/>
              </w:rPr>
              <w:t>Index Characteristics</w:t>
            </w:r>
          </w:p>
        </w:tc>
        <w:tc>
          <w:tcPr>
            <w:tcW w:w="250" w:type="dxa"/>
            <w:gridSpan w:val="2"/>
            <w:shd w:val="clear" w:color="auto" w:fill="auto"/>
            <w:vAlign w:val="center"/>
          </w:tcPr>
          <w:p w:rsidR="009143ED" w:rsidRPr="006D2F55" w:rsidRDefault="009143ED" w:rsidP="009143ED">
            <w:pPr>
              <w:jc w:val="center"/>
              <w:rPr>
                <w:rFonts w:ascii="Times New Roman" w:hAnsi="Times New Roman" w:cs="Times New Roman"/>
              </w:rPr>
            </w:pPr>
          </w:p>
        </w:tc>
        <w:tc>
          <w:tcPr>
            <w:tcW w:w="5436" w:type="dxa"/>
            <w:gridSpan w:val="4"/>
            <w:shd w:val="clear" w:color="auto" w:fill="0070C0"/>
            <w:vAlign w:val="center"/>
          </w:tcPr>
          <w:p w:rsidR="009143ED" w:rsidRPr="006D2F55" w:rsidRDefault="009143ED" w:rsidP="009143ED">
            <w:pPr>
              <w:rPr>
                <w:rFonts w:ascii="Times New Roman" w:hAnsi="Times New Roman" w:cs="Times New Roman"/>
                <w:b/>
                <w:color w:val="FFFFFF" w:themeColor="background1"/>
              </w:rPr>
            </w:pPr>
            <w:r>
              <w:rPr>
                <w:rFonts w:ascii="Times New Roman" w:hAnsi="Times New Roman" w:cs="Times New Roman"/>
                <w:b/>
                <w:color w:val="FFFFFF" w:themeColor="background1"/>
              </w:rPr>
              <w:t>Information</w:t>
            </w:r>
          </w:p>
        </w:tc>
      </w:tr>
      <w:tr w:rsidR="009143ED" w:rsidRPr="006D2F55" w:rsidTr="00474BB6">
        <w:trPr>
          <w:gridBefore w:val="1"/>
          <w:gridAfter w:val="2"/>
          <w:wBefore w:w="10" w:type="dxa"/>
          <w:wAfter w:w="86" w:type="dxa"/>
          <w:trHeight w:hRule="exact" w:val="2134"/>
        </w:trPr>
        <w:tc>
          <w:tcPr>
            <w:tcW w:w="5776" w:type="dxa"/>
            <w:gridSpan w:val="2"/>
          </w:tcPr>
          <w:tbl>
            <w:tblPr>
              <w:tblStyle w:val="LightList-Accent5"/>
              <w:tblpPr w:leftFromText="180" w:rightFromText="180" w:vertAnchor="page" w:horzAnchor="margin" w:tblpXSpec="center" w:tblpY="1"/>
              <w:tblOverlap w:val="never"/>
              <w:tblW w:w="19820" w:type="dxa"/>
              <w:tblBorders>
                <w:top w:val="single" w:sz="8" w:space="0" w:color="0070C0"/>
                <w:left w:val="none" w:sz="0" w:space="0" w:color="auto"/>
                <w:bottom w:val="single" w:sz="8" w:space="0" w:color="0070C0"/>
                <w:right w:val="none" w:sz="0" w:space="0" w:color="auto"/>
                <w:insideH w:val="single" w:sz="8" w:space="0" w:color="0070C0"/>
              </w:tblBorders>
              <w:tblLayout w:type="fixed"/>
              <w:tblLook w:val="04A0" w:firstRow="1" w:lastRow="0" w:firstColumn="1" w:lastColumn="0" w:noHBand="0" w:noVBand="1"/>
            </w:tblPr>
            <w:tblGrid>
              <w:gridCol w:w="4475"/>
              <w:gridCol w:w="1705"/>
              <w:gridCol w:w="1705"/>
              <w:gridCol w:w="1705"/>
              <w:gridCol w:w="1705"/>
              <w:gridCol w:w="1705"/>
              <w:gridCol w:w="1705"/>
              <w:gridCol w:w="1705"/>
              <w:gridCol w:w="1705"/>
              <w:gridCol w:w="1705"/>
            </w:tblGrid>
            <w:tr w:rsidR="00093CB9" w:rsidRPr="00301A9C" w:rsidTr="00A23782">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1739ED" w:rsidRDefault="00093CB9" w:rsidP="00093CB9">
                  <w:pPr>
                    <w:rPr>
                      <w:rFonts w:ascii="Times New Roman" w:eastAsia="Times New Roman" w:hAnsi="Times New Roman" w:cs="Times New Roman"/>
                      <w:color w:val="auto"/>
                      <w:sz w:val="16"/>
                      <w:szCs w:val="16"/>
                    </w:rPr>
                  </w:pPr>
                  <w:r w:rsidRPr="001739ED">
                    <w:rPr>
                      <w:rFonts w:ascii="Times New Roman" w:eastAsia="Times New Roman" w:hAnsi="Times New Roman" w:cs="Times New Roman"/>
                      <w:color w:val="auto"/>
                      <w:sz w:val="16"/>
                      <w:szCs w:val="16"/>
                    </w:rPr>
                    <w:t>Number of Constituents</w:t>
                  </w:r>
                </w:p>
              </w:tc>
              <w:tc>
                <w:tcPr>
                  <w:tcW w:w="1705" w:type="dxa"/>
                  <w:vAlign w:val="bottom"/>
                </w:tcPr>
                <w:p w:rsidR="00093CB9" w:rsidRPr="00C44ECA"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100</w:t>
                  </w:r>
                </w:p>
              </w:tc>
              <w:tc>
                <w:tcPr>
                  <w:tcW w:w="1705" w:type="dxa"/>
                  <w:vAlign w:val="bottom"/>
                </w:tcPr>
                <w:p w:rsidR="00093CB9" w:rsidRPr="00EC68C3"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EC68C3">
                    <w:rPr>
                      <w:rFonts w:ascii="Times New Roman" w:hAnsi="Times New Roman" w:cs="Times New Roman"/>
                      <w:color w:val="000000"/>
                      <w:sz w:val="16"/>
                      <w:szCs w:val="16"/>
                    </w:rPr>
                    <w:t>100</w:t>
                  </w:r>
                </w:p>
              </w:tc>
              <w:tc>
                <w:tcPr>
                  <w:tcW w:w="1705" w:type="dxa"/>
                  <w:shd w:val="clear" w:color="auto" w:fill="auto"/>
                </w:tcPr>
                <w:p w:rsidR="00093CB9"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705" w:type="dxa"/>
                  <w:shd w:val="clear" w:color="auto" w:fill="auto"/>
                </w:tcPr>
                <w:p w:rsidR="00093CB9"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705" w:type="dxa"/>
                  <w:shd w:val="clear" w:color="auto" w:fill="auto"/>
                  <w:vAlign w:val="center"/>
                </w:tcPr>
                <w:p w:rsidR="00093CB9"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705" w:type="dxa"/>
                  <w:shd w:val="clear" w:color="auto" w:fill="auto"/>
                  <w:vAlign w:val="center"/>
                </w:tcPr>
                <w:p w:rsidR="00093CB9" w:rsidRPr="003732B0"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3732B0">
                    <w:rPr>
                      <w:rFonts w:ascii="Times New Roman" w:hAnsi="Times New Roman" w:cs="Times New Roman"/>
                      <w:b w:val="0"/>
                      <w:color w:val="000000"/>
                      <w:sz w:val="16"/>
                      <w:szCs w:val="16"/>
                    </w:rPr>
                    <w:t>100</w:t>
                  </w:r>
                </w:p>
              </w:tc>
              <w:tc>
                <w:tcPr>
                  <w:tcW w:w="1705" w:type="dxa"/>
                  <w:shd w:val="clear" w:color="auto" w:fill="auto"/>
                  <w:vAlign w:val="center"/>
                </w:tcPr>
                <w:p w:rsidR="00093CB9" w:rsidRPr="004B64D8"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4B64D8">
                    <w:rPr>
                      <w:rFonts w:ascii="Times New Roman" w:hAnsi="Times New Roman" w:cs="Times New Roman"/>
                      <w:b w:val="0"/>
                      <w:color w:val="000000"/>
                      <w:sz w:val="16"/>
                      <w:szCs w:val="16"/>
                    </w:rPr>
                    <w:t>100</w:t>
                  </w:r>
                </w:p>
              </w:tc>
              <w:tc>
                <w:tcPr>
                  <w:tcW w:w="1705" w:type="dxa"/>
                  <w:shd w:val="clear" w:color="auto" w:fill="auto"/>
                  <w:vAlign w:val="center"/>
                </w:tcPr>
                <w:p w:rsidR="00093CB9" w:rsidRPr="006F1615"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6F1615">
                    <w:rPr>
                      <w:rFonts w:ascii="Times New Roman" w:hAnsi="Times New Roman" w:cs="Times New Roman"/>
                      <w:b w:val="0"/>
                      <w:color w:val="000000"/>
                      <w:sz w:val="16"/>
                      <w:szCs w:val="16"/>
                    </w:rPr>
                    <w:t>100</w:t>
                  </w:r>
                </w:p>
              </w:tc>
              <w:tc>
                <w:tcPr>
                  <w:tcW w:w="1705" w:type="dxa"/>
                  <w:shd w:val="clear" w:color="auto" w:fill="auto"/>
                  <w:vAlign w:val="center"/>
                </w:tcPr>
                <w:p w:rsidR="00093CB9" w:rsidRPr="00C30FA9"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C30FA9">
                    <w:rPr>
                      <w:rFonts w:ascii="Times New Roman" w:hAnsi="Times New Roman" w:cs="Times New Roman"/>
                      <w:b w:val="0"/>
                      <w:color w:val="000000"/>
                      <w:sz w:val="16"/>
                      <w:szCs w:val="16"/>
                    </w:rPr>
                    <w:t>100</w:t>
                  </w:r>
                </w:p>
              </w:tc>
            </w:tr>
            <w:tr w:rsidR="00093CB9" w:rsidRPr="00301A9C" w:rsidTr="00A23782">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F26A05" w:rsidRDefault="00093CB9" w:rsidP="00093CB9">
                  <w:pPr>
                    <w:rPr>
                      <w:rFonts w:ascii="Times New Roman" w:eastAsia="Times New Roman" w:hAnsi="Times New Roman" w:cs="Times New Roman"/>
                      <w:b w:val="0"/>
                      <w:sz w:val="16"/>
                      <w:szCs w:val="16"/>
                    </w:rPr>
                  </w:pPr>
                  <w:r w:rsidRPr="00F26A05">
                    <w:rPr>
                      <w:rFonts w:ascii="Times New Roman" w:eastAsia="Times New Roman" w:hAnsi="Times New Roman" w:cs="Times New Roman"/>
                      <w:sz w:val="16"/>
                      <w:szCs w:val="16"/>
                    </w:rPr>
                    <w:t xml:space="preserve">Full Market-Capitalization </w:t>
                  </w:r>
                  <w:r w:rsidRPr="006235F1">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Billion </w:t>
                  </w:r>
                  <w:r w:rsidRPr="006235F1">
                    <w:rPr>
                      <w:rFonts w:ascii="Times New Roman" w:eastAsia="Times New Roman" w:hAnsi="Times New Roman" w:cs="Times New Roman"/>
                      <w:sz w:val="16"/>
                      <w:szCs w:val="16"/>
                    </w:rPr>
                    <w:t>VND)</w:t>
                  </w:r>
                </w:p>
              </w:tc>
              <w:tc>
                <w:tcPr>
                  <w:tcW w:w="1705" w:type="dxa"/>
                  <w:vAlign w:val="bottom"/>
                </w:tcPr>
                <w:p w:rsidR="00093CB9" w:rsidRPr="00C44EC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2,645,765</w:t>
                  </w:r>
                </w:p>
              </w:tc>
              <w:tc>
                <w:tcPr>
                  <w:tcW w:w="1705" w:type="dxa"/>
                  <w:vAlign w:val="bottom"/>
                </w:tcPr>
                <w:p w:rsidR="00093CB9" w:rsidRPr="0011453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2,698,938</w:t>
                  </w:r>
                </w:p>
              </w:tc>
              <w:tc>
                <w:tcPr>
                  <w:tcW w:w="1705" w:type="dxa"/>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2,666,828</w:t>
                  </w:r>
                </w:p>
              </w:tc>
              <w:tc>
                <w:tcPr>
                  <w:tcW w:w="1705" w:type="dxa"/>
                  <w:shd w:val="clear" w:color="auto" w:fill="auto"/>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2,400,997</w:t>
                  </w:r>
                </w:p>
              </w:tc>
              <w:tc>
                <w:tcPr>
                  <w:tcW w:w="1705" w:type="dxa"/>
                  <w:shd w:val="clear" w:color="auto" w:fill="auto"/>
                  <w:vAlign w:val="center"/>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1,233,326</w:t>
                  </w:r>
                </w:p>
              </w:tc>
              <w:tc>
                <w:tcPr>
                  <w:tcW w:w="1705" w:type="dxa"/>
                  <w:shd w:val="clear" w:color="auto" w:fill="auto"/>
                  <w:vAlign w:val="center"/>
                </w:tcPr>
                <w:p w:rsidR="00093CB9" w:rsidRPr="003732B0"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32B0">
                    <w:rPr>
                      <w:rFonts w:ascii="Times New Roman" w:hAnsi="Times New Roman" w:cs="Times New Roman"/>
                      <w:color w:val="000000"/>
                      <w:sz w:val="16"/>
                      <w:szCs w:val="16"/>
                    </w:rPr>
                    <w:t>1,238,429</w:t>
                  </w:r>
                </w:p>
              </w:tc>
              <w:tc>
                <w:tcPr>
                  <w:tcW w:w="1705" w:type="dxa"/>
                  <w:shd w:val="clear" w:color="auto" w:fill="auto"/>
                  <w:vAlign w:val="center"/>
                </w:tcPr>
                <w:p w:rsidR="00093CB9" w:rsidRPr="004B64D8"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B64D8">
                    <w:rPr>
                      <w:rFonts w:ascii="Times New Roman" w:hAnsi="Times New Roman" w:cs="Times New Roman"/>
                      <w:color w:val="000000"/>
                      <w:sz w:val="16"/>
                      <w:szCs w:val="16"/>
                    </w:rPr>
                    <w:t>1,193,229</w:t>
                  </w:r>
                </w:p>
              </w:tc>
              <w:tc>
                <w:tcPr>
                  <w:tcW w:w="1705" w:type="dxa"/>
                  <w:shd w:val="clear" w:color="auto" w:fill="auto"/>
                  <w:vAlign w:val="center"/>
                </w:tcPr>
                <w:p w:rsidR="00093CB9" w:rsidRPr="006F1615"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973,910</w:t>
                  </w:r>
                </w:p>
              </w:tc>
              <w:tc>
                <w:tcPr>
                  <w:tcW w:w="1705" w:type="dxa"/>
                  <w:shd w:val="clear" w:color="auto" w:fill="auto"/>
                  <w:vAlign w:val="center"/>
                </w:tcPr>
                <w:p w:rsidR="00093CB9" w:rsidRPr="00C30FA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973,910,209,092</w:t>
                  </w:r>
                </w:p>
              </w:tc>
            </w:tr>
            <w:tr w:rsidR="00093CB9" w:rsidRPr="00301A9C" w:rsidTr="00A23782">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F26A05" w:rsidRDefault="00093CB9" w:rsidP="00093CB9">
                  <w:pPr>
                    <w:rPr>
                      <w:rFonts w:ascii="Times New Roman" w:eastAsia="Times New Roman" w:hAnsi="Times New Roman" w:cs="Times New Roman"/>
                      <w:sz w:val="16"/>
                      <w:szCs w:val="16"/>
                    </w:rPr>
                  </w:pPr>
                  <w:r>
                    <w:rPr>
                      <w:rFonts w:ascii="Times New Roman" w:eastAsia="Times New Roman" w:hAnsi="Times New Roman" w:cs="Times New Roman"/>
                      <w:sz w:val="16"/>
                      <w:szCs w:val="16"/>
                    </w:rPr>
                    <w:t>Free-</w:t>
                  </w:r>
                  <w:r w:rsidRPr="00F26A05">
                    <w:rPr>
                      <w:rFonts w:ascii="Times New Roman" w:eastAsia="Times New Roman" w:hAnsi="Times New Roman" w:cs="Times New Roman"/>
                      <w:sz w:val="16"/>
                      <w:szCs w:val="16"/>
                    </w:rPr>
                    <w:t xml:space="preserve">float adjusted Market-Capitalization </w:t>
                  </w:r>
                  <w:r w:rsidRPr="006235F1">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Billion </w:t>
                  </w:r>
                  <w:r w:rsidRPr="006235F1">
                    <w:rPr>
                      <w:rFonts w:ascii="Times New Roman" w:eastAsia="Times New Roman" w:hAnsi="Times New Roman" w:cs="Times New Roman"/>
                      <w:sz w:val="16"/>
                      <w:szCs w:val="16"/>
                    </w:rPr>
                    <w:t>VND)</w:t>
                  </w:r>
                </w:p>
              </w:tc>
              <w:tc>
                <w:tcPr>
                  <w:tcW w:w="1705" w:type="dxa"/>
                  <w:vAlign w:val="bottom"/>
                </w:tcPr>
                <w:p w:rsidR="00093CB9" w:rsidRPr="00C44EC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934,768</w:t>
                  </w:r>
                </w:p>
              </w:tc>
              <w:tc>
                <w:tcPr>
                  <w:tcW w:w="1705" w:type="dxa"/>
                  <w:vAlign w:val="bottom"/>
                </w:tcPr>
                <w:p w:rsidR="00093CB9" w:rsidRPr="0011453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964,638</w:t>
                  </w:r>
                </w:p>
              </w:tc>
              <w:tc>
                <w:tcPr>
                  <w:tcW w:w="1705" w:type="dxa"/>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979,619</w:t>
                  </w:r>
                </w:p>
              </w:tc>
              <w:tc>
                <w:tcPr>
                  <w:tcW w:w="1705" w:type="dxa"/>
                  <w:shd w:val="clear" w:color="auto" w:fill="auto"/>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762,903</w:t>
                  </w:r>
                </w:p>
              </w:tc>
              <w:tc>
                <w:tcPr>
                  <w:tcW w:w="1705" w:type="dxa"/>
                  <w:shd w:val="clear" w:color="auto" w:fill="auto"/>
                  <w:vAlign w:val="center"/>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433,755</w:t>
                  </w:r>
                </w:p>
              </w:tc>
              <w:tc>
                <w:tcPr>
                  <w:tcW w:w="1705" w:type="dxa"/>
                  <w:shd w:val="clear" w:color="auto" w:fill="auto"/>
                  <w:vAlign w:val="center"/>
                </w:tcPr>
                <w:p w:rsidR="00093CB9" w:rsidRPr="003732B0"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32B0">
                    <w:rPr>
                      <w:rFonts w:ascii="Times New Roman" w:hAnsi="Times New Roman" w:cs="Times New Roman"/>
                      <w:color w:val="000000"/>
                      <w:sz w:val="16"/>
                      <w:szCs w:val="16"/>
                    </w:rPr>
                    <w:t>431,978</w:t>
                  </w:r>
                </w:p>
              </w:tc>
              <w:tc>
                <w:tcPr>
                  <w:tcW w:w="1705" w:type="dxa"/>
                  <w:shd w:val="clear" w:color="auto" w:fill="auto"/>
                  <w:vAlign w:val="center"/>
                </w:tcPr>
                <w:p w:rsidR="00093CB9" w:rsidRPr="004B64D8"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B64D8">
                    <w:rPr>
                      <w:rFonts w:ascii="Times New Roman" w:hAnsi="Times New Roman" w:cs="Times New Roman"/>
                      <w:color w:val="000000"/>
                      <w:sz w:val="16"/>
                      <w:szCs w:val="16"/>
                    </w:rPr>
                    <w:t>414,219</w:t>
                  </w:r>
                </w:p>
              </w:tc>
              <w:tc>
                <w:tcPr>
                  <w:tcW w:w="1705" w:type="dxa"/>
                  <w:shd w:val="clear" w:color="auto" w:fill="auto"/>
                  <w:vAlign w:val="center"/>
                </w:tcPr>
                <w:p w:rsidR="00093CB9" w:rsidRPr="006F1615"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379,264</w:t>
                  </w:r>
                </w:p>
              </w:tc>
              <w:tc>
                <w:tcPr>
                  <w:tcW w:w="1705" w:type="dxa"/>
                  <w:shd w:val="clear" w:color="auto" w:fill="auto"/>
                  <w:vAlign w:val="center"/>
                </w:tcPr>
                <w:p w:rsidR="00093CB9" w:rsidRPr="00C30FA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379,264,491,615</w:t>
                  </w:r>
                </w:p>
              </w:tc>
            </w:tr>
            <w:tr w:rsidR="00093CB9" w:rsidRPr="00301A9C" w:rsidTr="00A23782">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1739ED" w:rsidRDefault="00093CB9" w:rsidP="00093CB9">
                  <w:pPr>
                    <w:jc w:val="center"/>
                    <w:rPr>
                      <w:rFonts w:ascii="Times New Roman" w:eastAsia="Times New Roman" w:hAnsi="Times New Roman" w:cs="Times New Roman"/>
                      <w:b w:val="0"/>
                      <w:sz w:val="16"/>
                      <w:szCs w:val="16"/>
                    </w:rPr>
                  </w:pPr>
                  <w:r w:rsidRPr="001739ED">
                    <w:rPr>
                      <w:rFonts w:ascii="Times New Roman" w:eastAsia="Times New Roman" w:hAnsi="Times New Roman" w:cs="Times New Roman"/>
                      <w:sz w:val="16"/>
                      <w:szCs w:val="16"/>
                    </w:rPr>
                    <w:t>Average</w:t>
                  </w:r>
                </w:p>
              </w:tc>
              <w:tc>
                <w:tcPr>
                  <w:tcW w:w="1705" w:type="dxa"/>
                  <w:vAlign w:val="bottom"/>
                </w:tcPr>
                <w:p w:rsidR="00093CB9" w:rsidRPr="00C44EC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9,348</w:t>
                  </w:r>
                </w:p>
              </w:tc>
              <w:tc>
                <w:tcPr>
                  <w:tcW w:w="1705" w:type="dxa"/>
                  <w:vAlign w:val="bottom"/>
                </w:tcPr>
                <w:p w:rsidR="00093CB9" w:rsidRPr="0011453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9,646</w:t>
                  </w:r>
                </w:p>
              </w:tc>
              <w:tc>
                <w:tcPr>
                  <w:tcW w:w="1705" w:type="dxa"/>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9,796</w:t>
                  </w:r>
                </w:p>
              </w:tc>
              <w:tc>
                <w:tcPr>
                  <w:tcW w:w="1705" w:type="dxa"/>
                  <w:shd w:val="clear" w:color="auto" w:fill="auto"/>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7,629</w:t>
                  </w:r>
                </w:p>
              </w:tc>
              <w:tc>
                <w:tcPr>
                  <w:tcW w:w="1705" w:type="dxa"/>
                  <w:shd w:val="clear" w:color="auto" w:fill="auto"/>
                  <w:vAlign w:val="center"/>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4,338</w:t>
                  </w:r>
                </w:p>
              </w:tc>
              <w:tc>
                <w:tcPr>
                  <w:tcW w:w="1705" w:type="dxa"/>
                  <w:shd w:val="clear" w:color="auto" w:fill="auto"/>
                  <w:vAlign w:val="center"/>
                </w:tcPr>
                <w:p w:rsidR="00093CB9" w:rsidRPr="003732B0"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32B0">
                    <w:rPr>
                      <w:rFonts w:ascii="Times New Roman" w:hAnsi="Times New Roman" w:cs="Times New Roman"/>
                      <w:color w:val="000000"/>
                      <w:sz w:val="16"/>
                      <w:szCs w:val="16"/>
                    </w:rPr>
                    <w:t>4,320</w:t>
                  </w:r>
                </w:p>
              </w:tc>
              <w:tc>
                <w:tcPr>
                  <w:tcW w:w="1705" w:type="dxa"/>
                  <w:shd w:val="clear" w:color="auto" w:fill="auto"/>
                  <w:vAlign w:val="center"/>
                </w:tcPr>
                <w:p w:rsidR="00093CB9" w:rsidRPr="004B64D8"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B64D8">
                    <w:rPr>
                      <w:rFonts w:ascii="Times New Roman" w:hAnsi="Times New Roman" w:cs="Times New Roman"/>
                      <w:color w:val="000000"/>
                      <w:sz w:val="16"/>
                      <w:szCs w:val="16"/>
                    </w:rPr>
                    <w:t>4,142</w:t>
                  </w:r>
                </w:p>
              </w:tc>
              <w:tc>
                <w:tcPr>
                  <w:tcW w:w="1705" w:type="dxa"/>
                  <w:shd w:val="clear" w:color="auto" w:fill="auto"/>
                  <w:vAlign w:val="center"/>
                </w:tcPr>
                <w:p w:rsidR="00093CB9" w:rsidRPr="006F1615"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3,793</w:t>
                  </w:r>
                </w:p>
              </w:tc>
              <w:tc>
                <w:tcPr>
                  <w:tcW w:w="1705" w:type="dxa"/>
                  <w:shd w:val="clear" w:color="auto" w:fill="auto"/>
                  <w:vAlign w:val="center"/>
                </w:tcPr>
                <w:p w:rsidR="00093CB9" w:rsidRPr="00C30FA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3,792,644,916</w:t>
                  </w:r>
                </w:p>
              </w:tc>
            </w:tr>
            <w:tr w:rsidR="00093CB9" w:rsidRPr="00301A9C" w:rsidTr="00A23782">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1739ED" w:rsidRDefault="00093CB9" w:rsidP="00093CB9">
                  <w:pPr>
                    <w:jc w:val="center"/>
                    <w:rPr>
                      <w:rFonts w:ascii="Times New Roman" w:eastAsia="Times New Roman" w:hAnsi="Times New Roman" w:cs="Times New Roman"/>
                      <w:b w:val="0"/>
                      <w:sz w:val="16"/>
                      <w:szCs w:val="16"/>
                    </w:rPr>
                  </w:pPr>
                  <w:r w:rsidRPr="001739ED">
                    <w:rPr>
                      <w:rFonts w:ascii="Times New Roman" w:eastAsia="Times New Roman" w:hAnsi="Times New Roman" w:cs="Times New Roman"/>
                      <w:sz w:val="16"/>
                      <w:szCs w:val="16"/>
                    </w:rPr>
                    <w:t>Max</w:t>
                  </w:r>
                </w:p>
              </w:tc>
              <w:tc>
                <w:tcPr>
                  <w:tcW w:w="1705" w:type="dxa"/>
                  <w:vAlign w:val="bottom"/>
                </w:tcPr>
                <w:p w:rsidR="00093CB9" w:rsidRPr="00C44EC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112,756</w:t>
                  </w:r>
                </w:p>
              </w:tc>
              <w:tc>
                <w:tcPr>
                  <w:tcW w:w="1705" w:type="dxa"/>
                  <w:vAlign w:val="bottom"/>
                </w:tcPr>
                <w:p w:rsidR="00093CB9" w:rsidRPr="0011453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113,017</w:t>
                  </w:r>
                </w:p>
              </w:tc>
              <w:tc>
                <w:tcPr>
                  <w:tcW w:w="1705" w:type="dxa"/>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122,856</w:t>
                  </w:r>
                </w:p>
              </w:tc>
              <w:tc>
                <w:tcPr>
                  <w:tcW w:w="1705" w:type="dxa"/>
                  <w:shd w:val="clear" w:color="auto" w:fill="auto"/>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134,242</w:t>
                  </w:r>
                </w:p>
              </w:tc>
              <w:tc>
                <w:tcPr>
                  <w:tcW w:w="1705" w:type="dxa"/>
                  <w:shd w:val="clear" w:color="auto" w:fill="auto"/>
                  <w:vAlign w:val="center"/>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96,664</w:t>
                  </w:r>
                </w:p>
              </w:tc>
              <w:tc>
                <w:tcPr>
                  <w:tcW w:w="1705" w:type="dxa"/>
                  <w:shd w:val="clear" w:color="auto" w:fill="auto"/>
                  <w:vAlign w:val="center"/>
                </w:tcPr>
                <w:p w:rsidR="00093CB9" w:rsidRPr="003732B0"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32B0">
                    <w:rPr>
                      <w:rFonts w:ascii="Times New Roman" w:hAnsi="Times New Roman" w:cs="Times New Roman"/>
                      <w:color w:val="000000"/>
                      <w:sz w:val="16"/>
                      <w:szCs w:val="16"/>
                    </w:rPr>
                    <w:t>101,848</w:t>
                  </w:r>
                </w:p>
              </w:tc>
              <w:tc>
                <w:tcPr>
                  <w:tcW w:w="1705" w:type="dxa"/>
                  <w:shd w:val="clear" w:color="auto" w:fill="auto"/>
                  <w:vAlign w:val="center"/>
                </w:tcPr>
                <w:p w:rsidR="00093CB9" w:rsidRPr="004B64D8"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B64D8">
                    <w:rPr>
                      <w:rFonts w:ascii="Times New Roman" w:hAnsi="Times New Roman" w:cs="Times New Roman"/>
                      <w:color w:val="000000"/>
                      <w:sz w:val="16"/>
                      <w:szCs w:val="16"/>
                    </w:rPr>
                    <w:t>85,330</w:t>
                  </w:r>
                </w:p>
              </w:tc>
              <w:tc>
                <w:tcPr>
                  <w:tcW w:w="1705" w:type="dxa"/>
                  <w:shd w:val="clear" w:color="auto" w:fill="auto"/>
                  <w:vAlign w:val="center"/>
                </w:tcPr>
                <w:p w:rsidR="00093CB9" w:rsidRPr="006F1615"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76,149</w:t>
                  </w:r>
                </w:p>
              </w:tc>
              <w:tc>
                <w:tcPr>
                  <w:tcW w:w="1705" w:type="dxa"/>
                  <w:shd w:val="clear" w:color="auto" w:fill="auto"/>
                  <w:vAlign w:val="center"/>
                </w:tcPr>
                <w:p w:rsidR="00093CB9" w:rsidRPr="00C30FA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76,148,844,803</w:t>
                  </w:r>
                </w:p>
              </w:tc>
            </w:tr>
            <w:tr w:rsidR="00093CB9" w:rsidRPr="00301A9C" w:rsidTr="00A23782">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1739ED" w:rsidRDefault="00093CB9" w:rsidP="00093CB9">
                  <w:pPr>
                    <w:jc w:val="center"/>
                    <w:rPr>
                      <w:rFonts w:ascii="Times New Roman" w:eastAsia="Times New Roman" w:hAnsi="Times New Roman" w:cs="Times New Roman"/>
                      <w:b w:val="0"/>
                      <w:sz w:val="16"/>
                      <w:szCs w:val="16"/>
                    </w:rPr>
                  </w:pPr>
                  <w:r w:rsidRPr="001739ED">
                    <w:rPr>
                      <w:rFonts w:ascii="Times New Roman" w:eastAsia="Times New Roman" w:hAnsi="Times New Roman" w:cs="Times New Roman"/>
                      <w:sz w:val="16"/>
                      <w:szCs w:val="16"/>
                    </w:rPr>
                    <w:t>Min</w:t>
                  </w:r>
                </w:p>
              </w:tc>
              <w:tc>
                <w:tcPr>
                  <w:tcW w:w="1705" w:type="dxa"/>
                  <w:vAlign w:val="bottom"/>
                </w:tcPr>
                <w:p w:rsidR="00093CB9" w:rsidRPr="00C44EC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204</w:t>
                  </w:r>
                </w:p>
              </w:tc>
              <w:tc>
                <w:tcPr>
                  <w:tcW w:w="1705" w:type="dxa"/>
                  <w:vAlign w:val="bottom"/>
                </w:tcPr>
                <w:p w:rsidR="00093CB9" w:rsidRPr="0011453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246</w:t>
                  </w:r>
                </w:p>
              </w:tc>
              <w:tc>
                <w:tcPr>
                  <w:tcW w:w="1705" w:type="dxa"/>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237</w:t>
                  </w:r>
                </w:p>
              </w:tc>
              <w:tc>
                <w:tcPr>
                  <w:tcW w:w="1705" w:type="dxa"/>
                  <w:shd w:val="clear" w:color="auto" w:fill="auto"/>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259</w:t>
                  </w:r>
                </w:p>
              </w:tc>
              <w:tc>
                <w:tcPr>
                  <w:tcW w:w="1705" w:type="dxa"/>
                  <w:shd w:val="clear" w:color="auto" w:fill="auto"/>
                  <w:vAlign w:val="center"/>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76</w:t>
                  </w:r>
                </w:p>
              </w:tc>
              <w:tc>
                <w:tcPr>
                  <w:tcW w:w="1705" w:type="dxa"/>
                  <w:shd w:val="clear" w:color="auto" w:fill="auto"/>
                  <w:vAlign w:val="center"/>
                </w:tcPr>
                <w:p w:rsidR="00093CB9" w:rsidRPr="003732B0"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32B0">
                    <w:rPr>
                      <w:rFonts w:ascii="Times New Roman" w:hAnsi="Times New Roman" w:cs="Times New Roman"/>
                      <w:color w:val="000000"/>
                      <w:sz w:val="16"/>
                      <w:szCs w:val="16"/>
                    </w:rPr>
                    <w:t>121</w:t>
                  </w:r>
                </w:p>
              </w:tc>
              <w:tc>
                <w:tcPr>
                  <w:tcW w:w="1705" w:type="dxa"/>
                  <w:shd w:val="clear" w:color="auto" w:fill="auto"/>
                  <w:vAlign w:val="center"/>
                </w:tcPr>
                <w:p w:rsidR="00093CB9" w:rsidRPr="004B64D8"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B64D8">
                    <w:rPr>
                      <w:rFonts w:ascii="Times New Roman" w:hAnsi="Times New Roman" w:cs="Times New Roman"/>
                      <w:color w:val="000000"/>
                      <w:sz w:val="16"/>
                      <w:szCs w:val="16"/>
                    </w:rPr>
                    <w:t>129</w:t>
                  </w:r>
                </w:p>
              </w:tc>
              <w:tc>
                <w:tcPr>
                  <w:tcW w:w="1705" w:type="dxa"/>
                  <w:shd w:val="clear" w:color="auto" w:fill="auto"/>
                  <w:vAlign w:val="center"/>
                </w:tcPr>
                <w:p w:rsidR="00093CB9" w:rsidRPr="006F1615"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148</w:t>
                  </w:r>
                </w:p>
              </w:tc>
              <w:tc>
                <w:tcPr>
                  <w:tcW w:w="1705" w:type="dxa"/>
                  <w:shd w:val="clear" w:color="auto" w:fill="auto"/>
                  <w:vAlign w:val="center"/>
                </w:tcPr>
                <w:p w:rsidR="00093CB9" w:rsidRPr="00C30FA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147,839,967</w:t>
                  </w:r>
                </w:p>
              </w:tc>
            </w:tr>
            <w:tr w:rsidR="00093CB9" w:rsidRPr="00301A9C" w:rsidTr="00A23782">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1739ED" w:rsidRDefault="00093CB9" w:rsidP="00093CB9">
                  <w:pPr>
                    <w:jc w:val="center"/>
                    <w:rPr>
                      <w:rFonts w:ascii="Times New Roman" w:eastAsia="Times New Roman" w:hAnsi="Times New Roman" w:cs="Times New Roman"/>
                      <w:b w:val="0"/>
                      <w:sz w:val="16"/>
                      <w:szCs w:val="16"/>
                    </w:rPr>
                  </w:pPr>
                  <w:r w:rsidRPr="001739ED">
                    <w:rPr>
                      <w:rFonts w:ascii="Times New Roman" w:eastAsia="Times New Roman" w:hAnsi="Times New Roman" w:cs="Times New Roman"/>
                      <w:sz w:val="16"/>
                      <w:szCs w:val="16"/>
                    </w:rPr>
                    <w:t>Median</w:t>
                  </w:r>
                </w:p>
              </w:tc>
              <w:tc>
                <w:tcPr>
                  <w:tcW w:w="1705" w:type="dxa"/>
                  <w:vAlign w:val="bottom"/>
                </w:tcPr>
                <w:p w:rsidR="00093CB9" w:rsidRPr="00C44EC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2,359</w:t>
                  </w:r>
                </w:p>
              </w:tc>
              <w:tc>
                <w:tcPr>
                  <w:tcW w:w="1705" w:type="dxa"/>
                  <w:vAlign w:val="bottom"/>
                </w:tcPr>
                <w:p w:rsidR="00093CB9" w:rsidRPr="0011453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2,409</w:t>
                  </w:r>
                </w:p>
              </w:tc>
              <w:tc>
                <w:tcPr>
                  <w:tcW w:w="1705" w:type="dxa"/>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2,396</w:t>
                  </w:r>
                </w:p>
              </w:tc>
              <w:tc>
                <w:tcPr>
                  <w:tcW w:w="1705" w:type="dxa"/>
                  <w:shd w:val="clear" w:color="auto" w:fill="auto"/>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1,986</w:t>
                  </w:r>
                </w:p>
              </w:tc>
              <w:tc>
                <w:tcPr>
                  <w:tcW w:w="1705" w:type="dxa"/>
                  <w:shd w:val="clear" w:color="auto" w:fill="auto"/>
                  <w:vAlign w:val="center"/>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1,462</w:t>
                  </w:r>
                </w:p>
              </w:tc>
              <w:tc>
                <w:tcPr>
                  <w:tcW w:w="1705" w:type="dxa"/>
                  <w:shd w:val="clear" w:color="auto" w:fill="auto"/>
                  <w:vAlign w:val="center"/>
                </w:tcPr>
                <w:p w:rsidR="00093CB9" w:rsidRPr="003732B0"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32B0">
                    <w:rPr>
                      <w:rFonts w:ascii="Times New Roman" w:hAnsi="Times New Roman" w:cs="Times New Roman"/>
                      <w:color w:val="000000"/>
                      <w:sz w:val="16"/>
                      <w:szCs w:val="16"/>
                    </w:rPr>
                    <w:t>1,270</w:t>
                  </w:r>
                </w:p>
              </w:tc>
              <w:tc>
                <w:tcPr>
                  <w:tcW w:w="1705" w:type="dxa"/>
                  <w:shd w:val="clear" w:color="auto" w:fill="auto"/>
                  <w:vAlign w:val="center"/>
                </w:tcPr>
                <w:p w:rsidR="00093CB9" w:rsidRPr="004B64D8"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B64D8">
                    <w:rPr>
                      <w:rFonts w:ascii="Times New Roman" w:hAnsi="Times New Roman" w:cs="Times New Roman"/>
                      <w:color w:val="000000"/>
                      <w:sz w:val="16"/>
                      <w:szCs w:val="16"/>
                    </w:rPr>
                    <w:t>1,295</w:t>
                  </w:r>
                </w:p>
              </w:tc>
              <w:tc>
                <w:tcPr>
                  <w:tcW w:w="1705" w:type="dxa"/>
                  <w:shd w:val="clear" w:color="auto" w:fill="auto"/>
                  <w:vAlign w:val="center"/>
                </w:tcPr>
                <w:p w:rsidR="00093CB9" w:rsidRPr="006F1615"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1,166</w:t>
                  </w:r>
                </w:p>
              </w:tc>
              <w:tc>
                <w:tcPr>
                  <w:tcW w:w="1705" w:type="dxa"/>
                  <w:shd w:val="clear" w:color="auto" w:fill="auto"/>
                  <w:vAlign w:val="center"/>
                </w:tcPr>
                <w:p w:rsidR="00093CB9" w:rsidRPr="00C30FA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1,166,430,639</w:t>
                  </w:r>
                </w:p>
              </w:tc>
            </w:tr>
            <w:tr w:rsidR="00093CB9" w:rsidRPr="00301A9C" w:rsidTr="00A23782">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1739ED" w:rsidRDefault="00093CB9" w:rsidP="00093CB9">
                  <w:pPr>
                    <w:rPr>
                      <w:rFonts w:ascii="Times New Roman" w:eastAsia="Times New Roman" w:hAnsi="Times New Roman" w:cs="Times New Roman"/>
                      <w:b w:val="0"/>
                      <w:sz w:val="16"/>
                      <w:szCs w:val="16"/>
                    </w:rPr>
                  </w:pPr>
                  <w:r w:rsidRPr="001739ED">
                    <w:rPr>
                      <w:rFonts w:ascii="Times New Roman" w:eastAsia="Times New Roman" w:hAnsi="Times New Roman" w:cs="Times New Roman"/>
                      <w:sz w:val="16"/>
                      <w:szCs w:val="16"/>
                    </w:rPr>
                    <w:t>Weighted capitalization of largest company</w:t>
                  </w:r>
                </w:p>
              </w:tc>
              <w:tc>
                <w:tcPr>
                  <w:tcW w:w="1705" w:type="dxa"/>
                  <w:vAlign w:val="bottom"/>
                </w:tcPr>
                <w:p w:rsidR="00093CB9" w:rsidRPr="00C44EC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12.06%</w:t>
                  </w:r>
                </w:p>
              </w:tc>
              <w:tc>
                <w:tcPr>
                  <w:tcW w:w="1705" w:type="dxa"/>
                  <w:vAlign w:val="bottom"/>
                </w:tcPr>
                <w:p w:rsidR="00093CB9" w:rsidRPr="0011453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11.72%</w:t>
                  </w:r>
                </w:p>
              </w:tc>
              <w:tc>
                <w:tcPr>
                  <w:tcW w:w="1705" w:type="dxa"/>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12.54%</w:t>
                  </w:r>
                </w:p>
              </w:tc>
              <w:tc>
                <w:tcPr>
                  <w:tcW w:w="1705" w:type="dxa"/>
                  <w:shd w:val="clear" w:color="auto" w:fill="auto"/>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17.60%</w:t>
                  </w:r>
                </w:p>
              </w:tc>
              <w:tc>
                <w:tcPr>
                  <w:tcW w:w="1705" w:type="dxa"/>
                  <w:shd w:val="clear" w:color="auto" w:fill="auto"/>
                  <w:vAlign w:val="center"/>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22.29%</w:t>
                  </w:r>
                </w:p>
              </w:tc>
              <w:tc>
                <w:tcPr>
                  <w:tcW w:w="1705" w:type="dxa"/>
                  <w:shd w:val="clear" w:color="auto" w:fill="auto"/>
                  <w:vAlign w:val="center"/>
                </w:tcPr>
                <w:p w:rsidR="00093CB9" w:rsidRPr="003732B0"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32B0">
                    <w:rPr>
                      <w:rFonts w:ascii="Times New Roman" w:hAnsi="Times New Roman" w:cs="Times New Roman"/>
                      <w:color w:val="000000"/>
                      <w:sz w:val="16"/>
                      <w:szCs w:val="16"/>
                    </w:rPr>
                    <w:t>23.58%</w:t>
                  </w:r>
                </w:p>
              </w:tc>
              <w:tc>
                <w:tcPr>
                  <w:tcW w:w="1705" w:type="dxa"/>
                  <w:shd w:val="clear" w:color="auto" w:fill="auto"/>
                  <w:vAlign w:val="center"/>
                </w:tcPr>
                <w:p w:rsidR="00093CB9" w:rsidRPr="004B64D8"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B64D8">
                    <w:rPr>
                      <w:rFonts w:ascii="Times New Roman" w:hAnsi="Times New Roman" w:cs="Times New Roman"/>
                      <w:color w:val="000000"/>
                      <w:sz w:val="16"/>
                      <w:szCs w:val="16"/>
                    </w:rPr>
                    <w:t>20.60%</w:t>
                  </w:r>
                </w:p>
              </w:tc>
              <w:tc>
                <w:tcPr>
                  <w:tcW w:w="1705" w:type="dxa"/>
                  <w:shd w:val="clear" w:color="auto" w:fill="auto"/>
                  <w:vAlign w:val="center"/>
                </w:tcPr>
                <w:p w:rsidR="00093CB9" w:rsidRPr="006F1615"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20.08%</w:t>
                  </w:r>
                </w:p>
              </w:tc>
              <w:tc>
                <w:tcPr>
                  <w:tcW w:w="1705" w:type="dxa"/>
                  <w:shd w:val="clear" w:color="auto" w:fill="auto"/>
                  <w:vAlign w:val="center"/>
                </w:tcPr>
                <w:p w:rsidR="00093CB9" w:rsidRPr="00C30FA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20.08%</w:t>
                  </w:r>
                </w:p>
              </w:tc>
            </w:tr>
            <w:tr w:rsidR="00093CB9" w:rsidRPr="00301A9C" w:rsidTr="00A23782">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1739ED" w:rsidRDefault="00093CB9" w:rsidP="00093CB9">
                  <w:pPr>
                    <w:rPr>
                      <w:rFonts w:ascii="Times New Roman" w:eastAsia="Times New Roman" w:hAnsi="Times New Roman" w:cs="Times New Roman"/>
                      <w:b w:val="0"/>
                      <w:sz w:val="16"/>
                      <w:szCs w:val="16"/>
                    </w:rPr>
                  </w:pPr>
                  <w:r w:rsidRPr="001739ED">
                    <w:rPr>
                      <w:rFonts w:ascii="Times New Roman" w:eastAsia="Times New Roman" w:hAnsi="Times New Roman" w:cs="Times New Roman"/>
                      <w:sz w:val="16"/>
                      <w:szCs w:val="16"/>
                    </w:rPr>
                    <w:t>Weighted capitalization of top-10 companies</w:t>
                  </w:r>
                </w:p>
              </w:tc>
              <w:tc>
                <w:tcPr>
                  <w:tcW w:w="1705" w:type="dxa"/>
                  <w:vAlign w:val="bottom"/>
                </w:tcPr>
                <w:p w:rsidR="00093CB9" w:rsidRPr="00C44EC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58.97%</w:t>
                  </w:r>
                </w:p>
              </w:tc>
              <w:tc>
                <w:tcPr>
                  <w:tcW w:w="1705" w:type="dxa"/>
                  <w:vAlign w:val="bottom"/>
                </w:tcPr>
                <w:p w:rsidR="00093CB9" w:rsidRPr="0011453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59.08%</w:t>
                  </w:r>
                </w:p>
              </w:tc>
              <w:tc>
                <w:tcPr>
                  <w:tcW w:w="1705" w:type="dxa"/>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59.49%</w:t>
                  </w:r>
                </w:p>
              </w:tc>
              <w:tc>
                <w:tcPr>
                  <w:tcW w:w="1705" w:type="dxa"/>
                  <w:shd w:val="clear" w:color="auto" w:fill="auto"/>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63.13%</w:t>
                  </w:r>
                </w:p>
              </w:tc>
              <w:tc>
                <w:tcPr>
                  <w:tcW w:w="1705" w:type="dxa"/>
                  <w:shd w:val="clear" w:color="auto" w:fill="auto"/>
                  <w:vAlign w:val="center"/>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59.38%</w:t>
                  </w:r>
                </w:p>
              </w:tc>
              <w:tc>
                <w:tcPr>
                  <w:tcW w:w="1705" w:type="dxa"/>
                  <w:shd w:val="clear" w:color="auto" w:fill="auto"/>
                  <w:vAlign w:val="center"/>
                </w:tcPr>
                <w:p w:rsidR="00093CB9" w:rsidRPr="003732B0"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32B0">
                    <w:rPr>
                      <w:rFonts w:ascii="Times New Roman" w:hAnsi="Times New Roman" w:cs="Times New Roman"/>
                      <w:color w:val="000000"/>
                      <w:sz w:val="16"/>
                      <w:szCs w:val="16"/>
                    </w:rPr>
                    <w:t>61.64%</w:t>
                  </w:r>
                </w:p>
              </w:tc>
              <w:tc>
                <w:tcPr>
                  <w:tcW w:w="1705" w:type="dxa"/>
                  <w:shd w:val="clear" w:color="auto" w:fill="auto"/>
                  <w:vAlign w:val="center"/>
                </w:tcPr>
                <w:p w:rsidR="00093CB9" w:rsidRPr="004B64D8"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B64D8">
                    <w:rPr>
                      <w:rFonts w:ascii="Times New Roman" w:hAnsi="Times New Roman" w:cs="Times New Roman"/>
                      <w:color w:val="000000"/>
                      <w:sz w:val="16"/>
                      <w:szCs w:val="16"/>
                    </w:rPr>
                    <w:t>60.47%</w:t>
                  </w:r>
                </w:p>
              </w:tc>
              <w:tc>
                <w:tcPr>
                  <w:tcW w:w="1705" w:type="dxa"/>
                  <w:shd w:val="clear" w:color="auto" w:fill="auto"/>
                  <w:vAlign w:val="center"/>
                </w:tcPr>
                <w:p w:rsidR="00093CB9" w:rsidRPr="006F1615"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60.03%</w:t>
                  </w:r>
                </w:p>
              </w:tc>
              <w:tc>
                <w:tcPr>
                  <w:tcW w:w="1705" w:type="dxa"/>
                  <w:shd w:val="clear" w:color="auto" w:fill="auto"/>
                  <w:vAlign w:val="center"/>
                </w:tcPr>
                <w:p w:rsidR="00093CB9" w:rsidRPr="00C30FA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0FA9">
                    <w:rPr>
                      <w:rFonts w:ascii="Times New Roman" w:hAnsi="Times New Roman" w:cs="Times New Roman"/>
                      <w:color w:val="000000"/>
                      <w:sz w:val="16"/>
                      <w:szCs w:val="16"/>
                    </w:rPr>
                    <w:t>60.03%</w:t>
                  </w:r>
                </w:p>
              </w:tc>
            </w:tr>
          </w:tbl>
          <w:p w:rsidR="009143ED" w:rsidRPr="00BC4093" w:rsidRDefault="009143ED" w:rsidP="009143ED">
            <w:pPr>
              <w:rPr>
                <w:rFonts w:ascii="Times New Roman" w:hAnsi="Times New Roman" w:cs="Times New Roman"/>
                <w:sz w:val="16"/>
                <w:szCs w:val="16"/>
              </w:rPr>
            </w:pPr>
          </w:p>
        </w:tc>
        <w:tc>
          <w:tcPr>
            <w:tcW w:w="5436" w:type="dxa"/>
            <w:gridSpan w:val="4"/>
          </w:tcPr>
          <w:p w:rsidR="009143ED" w:rsidRPr="00CE5502" w:rsidRDefault="009143ED" w:rsidP="009143ED">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Base Date: </w:t>
            </w:r>
            <w:r>
              <w:rPr>
                <w:rFonts w:ascii="Times New Roman" w:hAnsi="Times New Roman" w:cs="Times New Roman"/>
                <w:sz w:val="16"/>
                <w:szCs w:val="18"/>
              </w:rPr>
              <w:t>24</w:t>
            </w:r>
            <w:r w:rsidRPr="00CE5502">
              <w:rPr>
                <w:rFonts w:ascii="Times New Roman" w:hAnsi="Times New Roman" w:cs="Times New Roman"/>
                <w:sz w:val="16"/>
                <w:szCs w:val="18"/>
              </w:rPr>
              <w:t>/01/20</w:t>
            </w:r>
            <w:r>
              <w:rPr>
                <w:rFonts w:ascii="Times New Roman" w:hAnsi="Times New Roman" w:cs="Times New Roman"/>
                <w:sz w:val="16"/>
                <w:szCs w:val="18"/>
              </w:rPr>
              <w:t>14</w:t>
            </w:r>
          </w:p>
          <w:p w:rsidR="009143ED" w:rsidRPr="00CE5502" w:rsidRDefault="009143ED" w:rsidP="009143ED">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Base Value: </w:t>
            </w:r>
            <w:r>
              <w:rPr>
                <w:rFonts w:ascii="Times New Roman" w:hAnsi="Times New Roman" w:cs="Times New Roman"/>
                <w:sz w:val="16"/>
                <w:szCs w:val="18"/>
              </w:rPr>
              <w:t>560.19</w:t>
            </w:r>
          </w:p>
          <w:p w:rsidR="009143ED" w:rsidRPr="00CE5502" w:rsidRDefault="009143ED" w:rsidP="009143ED">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Availability: </w:t>
            </w:r>
            <w:r w:rsidRPr="00CE5502">
              <w:rPr>
                <w:rFonts w:ascii="Times New Roman" w:hAnsi="Times New Roman" w:cs="Times New Roman"/>
                <w:sz w:val="16"/>
                <w:szCs w:val="18"/>
              </w:rPr>
              <w:t>Price and Total Return</w:t>
            </w:r>
          </w:p>
          <w:p w:rsidR="009143ED" w:rsidRPr="00CE5502" w:rsidRDefault="009143ED" w:rsidP="009143ED">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Frequency: </w:t>
            </w:r>
          </w:p>
          <w:p w:rsidR="009143ED" w:rsidRPr="00CE5502" w:rsidRDefault="009143ED" w:rsidP="009143ED">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VN</w:t>
            </w:r>
            <w:r>
              <w:rPr>
                <w:rFonts w:ascii="Times New Roman" w:hAnsi="Times New Roman" w:cs="Times New Roman"/>
                <w:b/>
                <w:sz w:val="16"/>
                <w:szCs w:val="18"/>
              </w:rPr>
              <w:t>10</w:t>
            </w:r>
            <w:r w:rsidRPr="00CE5502">
              <w:rPr>
                <w:rFonts w:ascii="Times New Roman" w:hAnsi="Times New Roman" w:cs="Times New Roman"/>
                <w:b/>
                <w:sz w:val="16"/>
                <w:szCs w:val="18"/>
              </w:rPr>
              <w:t xml:space="preserve">0: </w:t>
            </w:r>
            <w:r w:rsidRPr="00CE5502">
              <w:rPr>
                <w:rFonts w:ascii="Times New Roman" w:hAnsi="Times New Roman" w:cs="Times New Roman"/>
                <w:sz w:val="16"/>
                <w:szCs w:val="18"/>
              </w:rPr>
              <w:t>Once per minute</w:t>
            </w:r>
            <w:r w:rsidRPr="00CE5502">
              <w:rPr>
                <w:rFonts w:ascii="Times New Roman" w:hAnsi="Times New Roman" w:cs="Times New Roman"/>
                <w:b/>
                <w:sz w:val="16"/>
                <w:szCs w:val="18"/>
              </w:rPr>
              <w:t>.</w:t>
            </w:r>
          </w:p>
          <w:p w:rsidR="009143ED" w:rsidRPr="00CE5502" w:rsidRDefault="009143ED" w:rsidP="009143ED">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VN</w:t>
            </w:r>
            <w:r>
              <w:rPr>
                <w:rFonts w:ascii="Times New Roman" w:hAnsi="Times New Roman" w:cs="Times New Roman"/>
                <w:b/>
                <w:sz w:val="16"/>
                <w:szCs w:val="18"/>
              </w:rPr>
              <w:t>10</w:t>
            </w:r>
            <w:r w:rsidRPr="00CE5502">
              <w:rPr>
                <w:rFonts w:ascii="Times New Roman" w:hAnsi="Times New Roman" w:cs="Times New Roman"/>
                <w:b/>
                <w:sz w:val="16"/>
                <w:szCs w:val="18"/>
              </w:rPr>
              <w:t xml:space="preserve">0TRI: </w:t>
            </w:r>
            <w:r w:rsidRPr="00CE5502">
              <w:rPr>
                <w:rFonts w:ascii="Times New Roman" w:hAnsi="Times New Roman" w:cs="Times New Roman"/>
                <w:sz w:val="16"/>
                <w:szCs w:val="18"/>
              </w:rPr>
              <w:t>End of day</w:t>
            </w:r>
            <w:r w:rsidRPr="00CE5502">
              <w:rPr>
                <w:rFonts w:ascii="Times New Roman" w:hAnsi="Times New Roman" w:cs="Times New Roman"/>
                <w:b/>
                <w:sz w:val="16"/>
                <w:szCs w:val="18"/>
              </w:rPr>
              <w:t>.</w:t>
            </w:r>
          </w:p>
          <w:p w:rsidR="009143ED" w:rsidRPr="00CE5502" w:rsidRDefault="009143ED" w:rsidP="009143ED">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Capping limit: </w:t>
            </w:r>
            <w:r w:rsidRPr="00CE5502">
              <w:rPr>
                <w:rFonts w:ascii="Times New Roman" w:hAnsi="Times New Roman" w:cs="Times New Roman"/>
                <w:sz w:val="16"/>
                <w:szCs w:val="18"/>
              </w:rPr>
              <w:t>10%</w:t>
            </w:r>
          </w:p>
          <w:p w:rsidR="009143ED" w:rsidRPr="00CE5502" w:rsidRDefault="009143ED" w:rsidP="009143ED">
            <w:pPr>
              <w:spacing w:line="276" w:lineRule="auto"/>
              <w:jc w:val="both"/>
              <w:rPr>
                <w:rFonts w:ascii="Times New Roman" w:hAnsi="Times New Roman" w:cs="Times New Roman"/>
                <w:sz w:val="16"/>
                <w:szCs w:val="18"/>
              </w:rPr>
            </w:pPr>
            <w:r w:rsidRPr="00CE5502">
              <w:rPr>
                <w:rFonts w:ascii="Times New Roman" w:hAnsi="Times New Roman" w:cs="Times New Roman"/>
                <w:b/>
                <w:sz w:val="16"/>
                <w:szCs w:val="18"/>
              </w:rPr>
              <w:t xml:space="preserve">Calculation Method: </w:t>
            </w:r>
            <w:r w:rsidRPr="00E771F9">
              <w:rPr>
                <w:rFonts w:ascii="Times New Roman" w:hAnsi="Times New Roman" w:cs="Times New Roman"/>
                <w:sz w:val="16"/>
                <w:szCs w:val="16"/>
              </w:rPr>
              <w:t>Free-float adjusted market-capitalization weighted index.</w:t>
            </w:r>
          </w:p>
          <w:p w:rsidR="009143ED" w:rsidRPr="004E1251" w:rsidRDefault="009143ED" w:rsidP="009143ED">
            <w:pPr>
              <w:spacing w:line="276" w:lineRule="auto"/>
              <w:jc w:val="both"/>
              <w:rPr>
                <w:rFonts w:ascii="Times New Roman" w:hAnsi="Times New Roman" w:cs="Times New Roman"/>
                <w:sz w:val="16"/>
                <w:szCs w:val="18"/>
              </w:rPr>
            </w:pPr>
            <w:r w:rsidRPr="00CE5502">
              <w:rPr>
                <w:rFonts w:ascii="Times New Roman" w:hAnsi="Times New Roman" w:cs="Times New Roman"/>
                <w:b/>
                <w:sz w:val="16"/>
                <w:szCs w:val="18"/>
              </w:rPr>
              <w:t xml:space="preserve">Currency: </w:t>
            </w:r>
            <w:r w:rsidRPr="00CE5502">
              <w:rPr>
                <w:rFonts w:ascii="Times New Roman" w:hAnsi="Times New Roman" w:cs="Times New Roman"/>
                <w:sz w:val="16"/>
                <w:szCs w:val="18"/>
              </w:rPr>
              <w:t>VND</w:t>
            </w:r>
          </w:p>
        </w:tc>
      </w:tr>
      <w:tr w:rsidR="009143ED" w:rsidRPr="006D2F55" w:rsidTr="00474BB6">
        <w:tblPrEx>
          <w:tblCellMar>
            <w:left w:w="108" w:type="dxa"/>
            <w:right w:w="108" w:type="dxa"/>
          </w:tblCellMar>
        </w:tblPrEx>
        <w:trPr>
          <w:gridBefore w:val="1"/>
          <w:gridAfter w:val="2"/>
          <w:wBefore w:w="10" w:type="dxa"/>
          <w:wAfter w:w="86" w:type="dxa"/>
          <w:trHeight w:hRule="exact" w:val="302"/>
        </w:trPr>
        <w:tc>
          <w:tcPr>
            <w:tcW w:w="5776" w:type="dxa"/>
            <w:gridSpan w:val="2"/>
            <w:vMerge w:val="restart"/>
          </w:tcPr>
          <w:p w:rsidR="009143ED" w:rsidRDefault="0074250D" w:rsidP="009143ED">
            <w:pPr>
              <w:rPr>
                <w:rFonts w:eastAsia="Times New Roman" w:cs="Times New Roman"/>
                <w:sz w:val="16"/>
                <w:szCs w:val="16"/>
              </w:rPr>
            </w:pPr>
            <w:r>
              <w:rPr>
                <w:rFonts w:eastAsia="Times New Roman" w:cs="Times New Roman"/>
                <w:noProof/>
                <w:sz w:val="16"/>
                <w:szCs w:val="16"/>
              </w:rPr>
              <w:drawing>
                <wp:inline distT="0" distB="0" distL="0" distR="0" wp14:anchorId="59ACFD4B">
                  <wp:extent cx="3688715" cy="1542415"/>
                  <wp:effectExtent l="0" t="0" r="698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8715" cy="1542415"/>
                          </a:xfrm>
                          <a:prstGeom prst="rect">
                            <a:avLst/>
                          </a:prstGeom>
                          <a:noFill/>
                        </pic:spPr>
                      </pic:pic>
                    </a:graphicData>
                  </a:graphic>
                </wp:inline>
              </w:drawing>
            </w:r>
            <w:r w:rsidR="00BB2873">
              <w:rPr>
                <w:noProof/>
              </w:rPr>
              <w:drawing>
                <wp:inline distT="0" distB="0" distL="0" distR="0" wp14:anchorId="5132A2C5" wp14:editId="1E9B4925">
                  <wp:extent cx="3687488" cy="1541766"/>
                  <wp:effectExtent l="0" t="0" r="8255" b="1905"/>
                  <wp:docPr id="33" name="Chart 33">
                    <a:extLst xmlns:a="http://schemas.openxmlformats.org/drawingml/2006/main">
                      <a:ext uri="{FF2B5EF4-FFF2-40B4-BE49-F238E27FC236}">
                        <a16:creationId xmlns:a16="http://schemas.microsoft.com/office/drawing/2014/main" id="{00000000-0008-0000-0100-00002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5436" w:type="dxa"/>
            <w:gridSpan w:val="4"/>
            <w:shd w:val="clear" w:color="auto" w:fill="0070C0"/>
            <w:vAlign w:val="center"/>
          </w:tcPr>
          <w:p w:rsidR="009143ED" w:rsidRPr="00CE5502" w:rsidRDefault="009143ED" w:rsidP="009143ED">
            <w:pPr>
              <w:rPr>
                <w:rFonts w:ascii="Times New Roman" w:hAnsi="Times New Roman" w:cs="Times New Roman"/>
                <w:b/>
                <w:sz w:val="16"/>
                <w:szCs w:val="18"/>
              </w:rPr>
            </w:pPr>
            <w:r w:rsidRPr="006D2F55">
              <w:rPr>
                <w:rFonts w:ascii="Times New Roman" w:hAnsi="Times New Roman" w:cs="Times New Roman"/>
                <w:b/>
                <w:color w:val="FFFFFF" w:themeColor="background1"/>
              </w:rPr>
              <w:t>Ind</w:t>
            </w:r>
            <w:r>
              <w:rPr>
                <w:rFonts w:ascii="Times New Roman" w:hAnsi="Times New Roman" w:cs="Times New Roman"/>
                <w:b/>
                <w:color w:val="FFFFFF" w:themeColor="background1"/>
              </w:rPr>
              <w:t xml:space="preserve">ex </w:t>
            </w:r>
            <w:r w:rsidRPr="006D2F55">
              <w:rPr>
                <w:rFonts w:ascii="Times New Roman" w:hAnsi="Times New Roman" w:cs="Times New Roman"/>
                <w:b/>
                <w:color w:val="FFFFFF" w:themeColor="background1"/>
              </w:rPr>
              <w:t>Volatility</w:t>
            </w:r>
          </w:p>
        </w:tc>
      </w:tr>
      <w:tr w:rsidR="009143ED" w:rsidRPr="006D2F55" w:rsidTr="00474BB6">
        <w:trPr>
          <w:gridBefore w:val="1"/>
          <w:gridAfter w:val="2"/>
          <w:wBefore w:w="10" w:type="dxa"/>
          <w:wAfter w:w="86" w:type="dxa"/>
          <w:trHeight w:hRule="exact" w:val="1010"/>
        </w:trPr>
        <w:tc>
          <w:tcPr>
            <w:tcW w:w="5776" w:type="dxa"/>
            <w:gridSpan w:val="2"/>
            <w:vMerge/>
          </w:tcPr>
          <w:p w:rsidR="009143ED" w:rsidRDefault="009143ED" w:rsidP="009143ED">
            <w:pPr>
              <w:rPr>
                <w:rFonts w:eastAsia="Times New Roman" w:cs="Times New Roman"/>
                <w:sz w:val="16"/>
                <w:szCs w:val="16"/>
              </w:rPr>
            </w:pPr>
          </w:p>
        </w:tc>
        <w:tc>
          <w:tcPr>
            <w:tcW w:w="5436" w:type="dxa"/>
            <w:gridSpan w:val="4"/>
            <w:vAlign w:val="center"/>
          </w:tcPr>
          <w:tbl>
            <w:tblPr>
              <w:tblW w:w="5274"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879"/>
              <w:gridCol w:w="879"/>
              <w:gridCol w:w="879"/>
              <w:gridCol w:w="879"/>
              <w:gridCol w:w="879"/>
              <w:gridCol w:w="879"/>
            </w:tblGrid>
            <w:tr w:rsidR="009143ED" w:rsidRPr="00C84839" w:rsidTr="00E30240">
              <w:trPr>
                <w:trHeight w:val="283"/>
              </w:trPr>
              <w:tc>
                <w:tcPr>
                  <w:tcW w:w="879" w:type="dxa"/>
                  <w:tcBorders>
                    <w:right w:val="single" w:sz="4" w:space="0" w:color="0070C0"/>
                  </w:tcBorders>
                  <w:shd w:val="clear" w:color="auto" w:fill="auto"/>
                  <w:noWrap/>
                  <w:vAlign w:val="center"/>
                  <w:hideMark/>
                </w:tcPr>
                <w:p w:rsidR="009143ED" w:rsidRPr="004260EC" w:rsidRDefault="009143ED" w:rsidP="0074250D">
                  <w:pPr>
                    <w:framePr w:hSpace="180" w:wrap="around" w:vAnchor="text" w:hAnchor="margin" w:y="-71"/>
                    <w:spacing w:after="0" w:line="240" w:lineRule="auto"/>
                    <w:jc w:val="center"/>
                    <w:rPr>
                      <w:rFonts w:ascii="Times New Roman" w:eastAsia="Times New Roman" w:hAnsi="Times New Roman" w:cs="Times New Roman"/>
                      <w:sz w:val="14"/>
                      <w:szCs w:val="14"/>
                    </w:rPr>
                  </w:pPr>
                </w:p>
              </w:tc>
              <w:tc>
                <w:tcPr>
                  <w:tcW w:w="879" w:type="dxa"/>
                  <w:tcBorders>
                    <w:left w:val="single" w:sz="4" w:space="0" w:color="0070C0"/>
                  </w:tcBorders>
                  <w:shd w:val="clear" w:color="auto" w:fill="auto"/>
                  <w:noWrap/>
                  <w:vAlign w:val="center"/>
                  <w:hideMark/>
                </w:tcPr>
                <w:p w:rsidR="009143ED" w:rsidRPr="00F26A05" w:rsidRDefault="009143ED"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months</w:t>
                  </w:r>
                </w:p>
              </w:tc>
              <w:tc>
                <w:tcPr>
                  <w:tcW w:w="879" w:type="dxa"/>
                  <w:shd w:val="clear" w:color="auto" w:fill="auto"/>
                  <w:noWrap/>
                  <w:vAlign w:val="center"/>
                  <w:hideMark/>
                </w:tcPr>
                <w:p w:rsidR="009143ED" w:rsidRPr="00F26A05" w:rsidRDefault="009143ED"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6 months</w:t>
                  </w:r>
                </w:p>
              </w:tc>
              <w:tc>
                <w:tcPr>
                  <w:tcW w:w="879" w:type="dxa"/>
                  <w:shd w:val="clear" w:color="auto" w:fill="auto"/>
                  <w:noWrap/>
                  <w:vAlign w:val="center"/>
                  <w:hideMark/>
                </w:tcPr>
                <w:p w:rsidR="009143ED" w:rsidRPr="00F26A05" w:rsidRDefault="009143ED"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1 year</w:t>
                  </w:r>
                </w:p>
              </w:tc>
              <w:tc>
                <w:tcPr>
                  <w:tcW w:w="879" w:type="dxa"/>
                  <w:shd w:val="clear" w:color="auto" w:fill="auto"/>
                  <w:noWrap/>
                  <w:vAlign w:val="center"/>
                  <w:hideMark/>
                </w:tcPr>
                <w:p w:rsidR="009143ED" w:rsidRPr="00F26A05" w:rsidRDefault="009143ED"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years</w:t>
                  </w:r>
                </w:p>
              </w:tc>
              <w:tc>
                <w:tcPr>
                  <w:tcW w:w="879" w:type="dxa"/>
                  <w:shd w:val="clear" w:color="auto" w:fill="auto"/>
                  <w:noWrap/>
                  <w:vAlign w:val="center"/>
                  <w:hideMark/>
                </w:tcPr>
                <w:p w:rsidR="009143ED" w:rsidRPr="00F26A05" w:rsidRDefault="009143ED"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5 years</w:t>
                  </w:r>
                </w:p>
              </w:tc>
            </w:tr>
            <w:tr w:rsidR="00093CB9" w:rsidRPr="00C84839" w:rsidTr="00E30240">
              <w:trPr>
                <w:trHeight w:val="283"/>
              </w:trPr>
              <w:tc>
                <w:tcPr>
                  <w:tcW w:w="879" w:type="dxa"/>
                  <w:tcBorders>
                    <w:right w:val="single" w:sz="4" w:space="0" w:color="0070C0"/>
                  </w:tcBorders>
                  <w:shd w:val="clear" w:color="auto" w:fill="auto"/>
                  <w:noWrap/>
                  <w:vAlign w:val="center"/>
                  <w:hideMark/>
                </w:tcPr>
                <w:p w:rsidR="00093CB9" w:rsidRPr="004260EC" w:rsidRDefault="00093CB9" w:rsidP="00093CB9">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4260EC">
                    <w:rPr>
                      <w:rFonts w:ascii="Times New Roman" w:eastAsia="Times New Roman" w:hAnsi="Times New Roman" w:cs="Times New Roman"/>
                      <w:b/>
                      <w:bCs/>
                      <w:color w:val="000000"/>
                      <w:sz w:val="14"/>
                      <w:szCs w:val="14"/>
                    </w:rPr>
                    <w:t>VN</w:t>
                  </w:r>
                  <w:r>
                    <w:rPr>
                      <w:rFonts w:ascii="Times New Roman" w:eastAsia="Times New Roman" w:hAnsi="Times New Roman" w:cs="Times New Roman"/>
                      <w:b/>
                      <w:bCs/>
                      <w:color w:val="000000"/>
                      <w:sz w:val="14"/>
                      <w:szCs w:val="14"/>
                    </w:rPr>
                    <w:t>10</w:t>
                  </w:r>
                  <w:r w:rsidRPr="004260EC">
                    <w:rPr>
                      <w:rFonts w:ascii="Times New Roman" w:eastAsia="Times New Roman" w:hAnsi="Times New Roman" w:cs="Times New Roman"/>
                      <w:b/>
                      <w:bCs/>
                      <w:color w:val="000000"/>
                      <w:sz w:val="14"/>
                      <w:szCs w:val="14"/>
                    </w:rPr>
                    <w:t>0</w:t>
                  </w:r>
                </w:p>
              </w:tc>
              <w:tc>
                <w:tcPr>
                  <w:tcW w:w="879" w:type="dxa"/>
                  <w:tcBorders>
                    <w:left w:val="single" w:sz="4" w:space="0" w:color="0070C0"/>
                  </w:tcBorders>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6.41%</w:t>
                  </w:r>
                </w:p>
              </w:tc>
              <w:tc>
                <w:tcPr>
                  <w:tcW w:w="87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9.16%</w:t>
                  </w:r>
                </w:p>
              </w:tc>
              <w:tc>
                <w:tcPr>
                  <w:tcW w:w="87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16.86%</w:t>
                  </w:r>
                </w:p>
              </w:tc>
              <w:tc>
                <w:tcPr>
                  <w:tcW w:w="87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26.96%</w:t>
                  </w:r>
                </w:p>
              </w:tc>
              <w:tc>
                <w:tcPr>
                  <w:tcW w:w="87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33.61%</w:t>
                  </w:r>
                </w:p>
              </w:tc>
            </w:tr>
          </w:tbl>
          <w:p w:rsidR="009143ED" w:rsidRPr="00CE5502" w:rsidRDefault="009143ED" w:rsidP="009143ED">
            <w:pPr>
              <w:jc w:val="center"/>
              <w:rPr>
                <w:rFonts w:ascii="Times New Roman" w:hAnsi="Times New Roman" w:cs="Times New Roman"/>
                <w:b/>
                <w:sz w:val="16"/>
                <w:szCs w:val="18"/>
              </w:rPr>
            </w:pPr>
          </w:p>
        </w:tc>
      </w:tr>
      <w:tr w:rsidR="009143ED" w:rsidRPr="006D2F55" w:rsidTr="00474BB6">
        <w:trPr>
          <w:gridBefore w:val="1"/>
          <w:gridAfter w:val="2"/>
          <w:wBefore w:w="10" w:type="dxa"/>
          <w:wAfter w:w="86" w:type="dxa"/>
          <w:trHeight w:hRule="exact" w:val="302"/>
        </w:trPr>
        <w:tc>
          <w:tcPr>
            <w:tcW w:w="5776" w:type="dxa"/>
            <w:gridSpan w:val="2"/>
            <w:vMerge/>
          </w:tcPr>
          <w:p w:rsidR="009143ED" w:rsidRDefault="009143ED" w:rsidP="009143ED">
            <w:pPr>
              <w:rPr>
                <w:rFonts w:eastAsia="Times New Roman" w:cs="Times New Roman"/>
                <w:sz w:val="16"/>
                <w:szCs w:val="16"/>
              </w:rPr>
            </w:pPr>
          </w:p>
        </w:tc>
        <w:tc>
          <w:tcPr>
            <w:tcW w:w="5436" w:type="dxa"/>
            <w:gridSpan w:val="4"/>
            <w:shd w:val="clear" w:color="auto" w:fill="0070C0"/>
            <w:vAlign w:val="center"/>
          </w:tcPr>
          <w:p w:rsidR="009143ED" w:rsidRPr="00CE5502" w:rsidRDefault="009143ED" w:rsidP="009143ED">
            <w:pPr>
              <w:rPr>
                <w:rFonts w:ascii="Times New Roman" w:hAnsi="Times New Roman" w:cs="Times New Roman"/>
                <w:b/>
                <w:sz w:val="16"/>
                <w:szCs w:val="18"/>
              </w:rPr>
            </w:pPr>
            <w:r w:rsidRPr="006D2F55">
              <w:rPr>
                <w:rFonts w:ascii="Times New Roman" w:hAnsi="Times New Roman" w:cs="Times New Roman"/>
                <w:b/>
                <w:color w:val="FFFFFF" w:themeColor="background1"/>
              </w:rPr>
              <w:t xml:space="preserve">Correlation </w:t>
            </w:r>
            <w:r>
              <w:rPr>
                <w:rFonts w:ascii="Times New Roman" w:hAnsi="Times New Roman" w:cs="Times New Roman"/>
                <w:b/>
                <w:color w:val="FFFFFF" w:themeColor="background1"/>
              </w:rPr>
              <w:t>with VN Index</w:t>
            </w:r>
          </w:p>
        </w:tc>
      </w:tr>
      <w:tr w:rsidR="009143ED" w:rsidRPr="006D2F55" w:rsidTr="00474BB6">
        <w:trPr>
          <w:gridBefore w:val="1"/>
          <w:gridAfter w:val="2"/>
          <w:wBefore w:w="10" w:type="dxa"/>
          <w:wAfter w:w="86" w:type="dxa"/>
          <w:trHeight w:hRule="exact" w:val="875"/>
        </w:trPr>
        <w:tc>
          <w:tcPr>
            <w:tcW w:w="5776" w:type="dxa"/>
            <w:gridSpan w:val="2"/>
            <w:vMerge/>
          </w:tcPr>
          <w:p w:rsidR="009143ED" w:rsidRDefault="009143ED" w:rsidP="009143ED">
            <w:pPr>
              <w:rPr>
                <w:rFonts w:eastAsia="Times New Roman" w:cs="Times New Roman"/>
                <w:sz w:val="16"/>
                <w:szCs w:val="16"/>
              </w:rPr>
            </w:pPr>
          </w:p>
        </w:tc>
        <w:tc>
          <w:tcPr>
            <w:tcW w:w="5436" w:type="dxa"/>
            <w:gridSpan w:val="4"/>
            <w:vAlign w:val="center"/>
          </w:tcPr>
          <w:tbl>
            <w:tblPr>
              <w:tblW w:w="5274" w:type="dxa"/>
              <w:tblInd w:w="1"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879"/>
              <w:gridCol w:w="879"/>
              <w:gridCol w:w="879"/>
              <w:gridCol w:w="879"/>
              <w:gridCol w:w="879"/>
              <w:gridCol w:w="879"/>
            </w:tblGrid>
            <w:tr w:rsidR="009143ED" w:rsidRPr="00C84839" w:rsidTr="00E30240">
              <w:trPr>
                <w:trHeight w:val="283"/>
              </w:trPr>
              <w:tc>
                <w:tcPr>
                  <w:tcW w:w="879" w:type="dxa"/>
                  <w:tcBorders>
                    <w:right w:val="single" w:sz="4" w:space="0" w:color="0070C0"/>
                  </w:tcBorders>
                  <w:shd w:val="clear" w:color="auto" w:fill="auto"/>
                  <w:noWrap/>
                  <w:vAlign w:val="center"/>
                  <w:hideMark/>
                </w:tcPr>
                <w:p w:rsidR="009143ED" w:rsidRPr="004260EC" w:rsidRDefault="009143ED" w:rsidP="0074250D">
                  <w:pPr>
                    <w:framePr w:hSpace="180" w:wrap="around" w:vAnchor="text" w:hAnchor="margin" w:y="-71"/>
                    <w:spacing w:after="0" w:line="240" w:lineRule="auto"/>
                    <w:jc w:val="center"/>
                    <w:rPr>
                      <w:rFonts w:ascii="Times New Roman" w:eastAsia="Times New Roman" w:hAnsi="Times New Roman" w:cs="Times New Roman"/>
                      <w:sz w:val="14"/>
                      <w:szCs w:val="14"/>
                    </w:rPr>
                  </w:pPr>
                </w:p>
              </w:tc>
              <w:tc>
                <w:tcPr>
                  <w:tcW w:w="879" w:type="dxa"/>
                  <w:tcBorders>
                    <w:left w:val="single" w:sz="4" w:space="0" w:color="0070C0"/>
                  </w:tcBorders>
                  <w:shd w:val="clear" w:color="auto" w:fill="auto"/>
                  <w:noWrap/>
                  <w:vAlign w:val="center"/>
                  <w:hideMark/>
                </w:tcPr>
                <w:p w:rsidR="009143ED" w:rsidRPr="00F26A05" w:rsidRDefault="009143ED"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months</w:t>
                  </w:r>
                </w:p>
              </w:tc>
              <w:tc>
                <w:tcPr>
                  <w:tcW w:w="879" w:type="dxa"/>
                  <w:shd w:val="clear" w:color="auto" w:fill="auto"/>
                  <w:noWrap/>
                  <w:vAlign w:val="center"/>
                  <w:hideMark/>
                </w:tcPr>
                <w:p w:rsidR="009143ED" w:rsidRPr="00F26A05" w:rsidRDefault="009143ED"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6 months</w:t>
                  </w:r>
                </w:p>
              </w:tc>
              <w:tc>
                <w:tcPr>
                  <w:tcW w:w="879" w:type="dxa"/>
                  <w:shd w:val="clear" w:color="auto" w:fill="auto"/>
                  <w:noWrap/>
                  <w:vAlign w:val="center"/>
                  <w:hideMark/>
                </w:tcPr>
                <w:p w:rsidR="009143ED" w:rsidRPr="00F26A05" w:rsidRDefault="009143ED"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1 year</w:t>
                  </w:r>
                </w:p>
              </w:tc>
              <w:tc>
                <w:tcPr>
                  <w:tcW w:w="879" w:type="dxa"/>
                  <w:shd w:val="clear" w:color="auto" w:fill="auto"/>
                  <w:noWrap/>
                  <w:vAlign w:val="center"/>
                  <w:hideMark/>
                </w:tcPr>
                <w:p w:rsidR="009143ED" w:rsidRPr="00F26A05" w:rsidRDefault="009143ED"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years</w:t>
                  </w:r>
                </w:p>
              </w:tc>
              <w:tc>
                <w:tcPr>
                  <w:tcW w:w="879" w:type="dxa"/>
                  <w:shd w:val="clear" w:color="auto" w:fill="auto"/>
                  <w:noWrap/>
                  <w:vAlign w:val="center"/>
                  <w:hideMark/>
                </w:tcPr>
                <w:p w:rsidR="009143ED" w:rsidRPr="00F26A05" w:rsidRDefault="009143ED"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5 years</w:t>
                  </w:r>
                </w:p>
              </w:tc>
            </w:tr>
            <w:tr w:rsidR="00093CB9" w:rsidRPr="00C84839" w:rsidTr="00E30240">
              <w:trPr>
                <w:trHeight w:val="283"/>
              </w:trPr>
              <w:tc>
                <w:tcPr>
                  <w:tcW w:w="879" w:type="dxa"/>
                  <w:tcBorders>
                    <w:right w:val="single" w:sz="4" w:space="0" w:color="0070C0"/>
                  </w:tcBorders>
                  <w:shd w:val="clear" w:color="auto" w:fill="auto"/>
                  <w:noWrap/>
                  <w:vAlign w:val="center"/>
                  <w:hideMark/>
                </w:tcPr>
                <w:p w:rsidR="00093CB9" w:rsidRPr="004260EC" w:rsidRDefault="00093CB9" w:rsidP="00093CB9">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4260EC">
                    <w:rPr>
                      <w:rFonts w:ascii="Times New Roman" w:eastAsia="Times New Roman" w:hAnsi="Times New Roman" w:cs="Times New Roman"/>
                      <w:b/>
                      <w:bCs/>
                      <w:color w:val="000000"/>
                      <w:sz w:val="14"/>
                      <w:szCs w:val="14"/>
                    </w:rPr>
                    <w:t>VN</w:t>
                  </w:r>
                  <w:r>
                    <w:rPr>
                      <w:rFonts w:ascii="Times New Roman" w:eastAsia="Times New Roman" w:hAnsi="Times New Roman" w:cs="Times New Roman"/>
                      <w:b/>
                      <w:bCs/>
                      <w:color w:val="000000"/>
                      <w:sz w:val="14"/>
                      <w:szCs w:val="14"/>
                    </w:rPr>
                    <w:t>10</w:t>
                  </w:r>
                  <w:r w:rsidRPr="004260EC">
                    <w:rPr>
                      <w:rFonts w:ascii="Times New Roman" w:eastAsia="Times New Roman" w:hAnsi="Times New Roman" w:cs="Times New Roman"/>
                      <w:b/>
                      <w:bCs/>
                      <w:color w:val="000000"/>
                      <w:sz w:val="14"/>
                      <w:szCs w:val="14"/>
                    </w:rPr>
                    <w:t>0</w:t>
                  </w:r>
                </w:p>
              </w:tc>
              <w:tc>
                <w:tcPr>
                  <w:tcW w:w="879" w:type="dxa"/>
                  <w:tcBorders>
                    <w:left w:val="single" w:sz="4" w:space="0" w:color="0070C0"/>
                  </w:tcBorders>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97.70%</w:t>
                  </w:r>
                </w:p>
              </w:tc>
              <w:tc>
                <w:tcPr>
                  <w:tcW w:w="87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97.50%</w:t>
                  </w:r>
                </w:p>
              </w:tc>
              <w:tc>
                <w:tcPr>
                  <w:tcW w:w="87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97.66%</w:t>
                  </w:r>
                </w:p>
              </w:tc>
              <w:tc>
                <w:tcPr>
                  <w:tcW w:w="87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95.94%</w:t>
                  </w:r>
                </w:p>
              </w:tc>
              <w:tc>
                <w:tcPr>
                  <w:tcW w:w="87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94.63%</w:t>
                  </w:r>
                </w:p>
              </w:tc>
            </w:tr>
          </w:tbl>
          <w:p w:rsidR="009143ED" w:rsidRPr="00CE5502" w:rsidRDefault="009143ED" w:rsidP="009143ED">
            <w:pPr>
              <w:jc w:val="center"/>
              <w:rPr>
                <w:rFonts w:ascii="Times New Roman" w:hAnsi="Times New Roman" w:cs="Times New Roman"/>
                <w:b/>
                <w:sz w:val="16"/>
                <w:szCs w:val="18"/>
              </w:rPr>
            </w:pPr>
          </w:p>
        </w:tc>
      </w:tr>
      <w:tr w:rsidR="009143ED" w:rsidRPr="006D2F55" w:rsidTr="00474BB6">
        <w:tblPrEx>
          <w:tblCellMar>
            <w:left w:w="108" w:type="dxa"/>
            <w:right w:w="108" w:type="dxa"/>
          </w:tblCellMar>
        </w:tblPrEx>
        <w:trPr>
          <w:gridBefore w:val="1"/>
          <w:gridAfter w:val="2"/>
          <w:wBefore w:w="10" w:type="dxa"/>
          <w:wAfter w:w="86" w:type="dxa"/>
          <w:trHeight w:hRule="exact" w:val="298"/>
        </w:trPr>
        <w:tc>
          <w:tcPr>
            <w:tcW w:w="5565" w:type="dxa"/>
            <w:shd w:val="clear" w:color="auto" w:fill="0070C0"/>
            <w:vAlign w:val="center"/>
          </w:tcPr>
          <w:p w:rsidR="009143ED" w:rsidRPr="00C84839" w:rsidRDefault="009143ED" w:rsidP="009143ED">
            <w:pPr>
              <w:tabs>
                <w:tab w:val="center" w:pos="2700"/>
                <w:tab w:val="left" w:pos="4236"/>
              </w:tabs>
              <w:rPr>
                <w:rFonts w:ascii="Times New Roman" w:hAnsi="Times New Roman" w:cs="Times New Roman"/>
                <w:b/>
                <w:color w:val="FFFFFF" w:themeColor="background1"/>
              </w:rPr>
            </w:pPr>
            <w:r w:rsidRPr="00C84839">
              <w:rPr>
                <w:rFonts w:ascii="Times New Roman" w:hAnsi="Times New Roman" w:cs="Times New Roman"/>
                <w:b/>
                <w:color w:val="FFFFFF" w:themeColor="background1"/>
              </w:rPr>
              <w:t>Ind</w:t>
            </w:r>
            <w:r>
              <w:rPr>
                <w:rFonts w:ascii="Times New Roman" w:hAnsi="Times New Roman" w:cs="Times New Roman"/>
                <w:b/>
                <w:color w:val="FFFFFF" w:themeColor="background1"/>
              </w:rPr>
              <w:t>ex</w:t>
            </w:r>
            <w:r w:rsidRPr="00C84839">
              <w:rPr>
                <w:rFonts w:ascii="Times New Roman" w:hAnsi="Times New Roman" w:cs="Times New Roman"/>
                <w:b/>
                <w:color w:val="FFFFFF" w:themeColor="background1"/>
              </w:rPr>
              <w:t xml:space="preserve"> Performance</w:t>
            </w:r>
          </w:p>
        </w:tc>
        <w:tc>
          <w:tcPr>
            <w:tcW w:w="5647" w:type="dxa"/>
            <w:gridSpan w:val="5"/>
            <w:vAlign w:val="center"/>
          </w:tcPr>
          <w:p w:rsidR="009143ED" w:rsidRPr="006D2F55" w:rsidRDefault="009143ED" w:rsidP="009143ED">
            <w:pPr>
              <w:tabs>
                <w:tab w:val="center" w:pos="2700"/>
                <w:tab w:val="left" w:pos="4236"/>
              </w:tabs>
              <w:rPr>
                <w:rFonts w:ascii="Times New Roman" w:hAnsi="Times New Roman" w:cs="Times New Roman"/>
              </w:rPr>
            </w:pPr>
          </w:p>
        </w:tc>
      </w:tr>
      <w:tr w:rsidR="009143ED" w:rsidRPr="006D2F55" w:rsidTr="00474BB6">
        <w:tblPrEx>
          <w:tblCellMar>
            <w:left w:w="108" w:type="dxa"/>
            <w:right w:w="108" w:type="dxa"/>
          </w:tblCellMar>
        </w:tblPrEx>
        <w:trPr>
          <w:gridBefore w:val="1"/>
          <w:gridAfter w:val="2"/>
          <w:wBefore w:w="10" w:type="dxa"/>
          <w:wAfter w:w="86" w:type="dxa"/>
          <w:trHeight w:hRule="exact" w:val="1099"/>
        </w:trPr>
        <w:tc>
          <w:tcPr>
            <w:tcW w:w="11212" w:type="dxa"/>
            <w:gridSpan w:val="6"/>
            <w:vAlign w:val="center"/>
          </w:tcPr>
          <w:tbl>
            <w:tblPr>
              <w:tblW w:w="10622" w:type="dxa"/>
              <w:jc w:val="center"/>
              <w:tblBorders>
                <w:top w:val="single" w:sz="12" w:space="0" w:color="0070C0"/>
                <w:bottom w:val="single" w:sz="12" w:space="0" w:color="0070C0"/>
                <w:insideH w:val="single" w:sz="12" w:space="0" w:color="0070C0"/>
              </w:tblBorders>
              <w:tblLayout w:type="fixed"/>
              <w:tblLook w:val="04A0" w:firstRow="1" w:lastRow="0" w:firstColumn="1" w:lastColumn="0" w:noHBand="0" w:noVBand="1"/>
            </w:tblPr>
            <w:tblGrid>
              <w:gridCol w:w="1146"/>
              <w:gridCol w:w="769"/>
              <w:gridCol w:w="701"/>
              <w:gridCol w:w="697"/>
              <w:gridCol w:w="839"/>
              <w:gridCol w:w="928"/>
              <w:gridCol w:w="928"/>
              <w:gridCol w:w="697"/>
              <w:gridCol w:w="767"/>
              <w:gridCol w:w="769"/>
              <w:gridCol w:w="1236"/>
              <w:gridCol w:w="1145"/>
            </w:tblGrid>
            <w:tr w:rsidR="009143ED" w:rsidRPr="00252690" w:rsidTr="00F5321A">
              <w:trPr>
                <w:trHeight w:val="268"/>
                <w:jc w:val="center"/>
              </w:trPr>
              <w:tc>
                <w:tcPr>
                  <w:tcW w:w="539" w:type="pct"/>
                  <w:tcBorders>
                    <w:right w:val="single" w:sz="12" w:space="0" w:color="0070C0"/>
                  </w:tcBorders>
                  <w:vAlign w:val="center"/>
                </w:tcPr>
                <w:p w:rsidR="009143ED" w:rsidRPr="00C572C8" w:rsidRDefault="009143ED" w:rsidP="009143ED">
                  <w:pPr>
                    <w:framePr w:hSpace="180" w:wrap="around" w:vAnchor="text" w:hAnchor="margin" w:y="-71"/>
                    <w:spacing w:after="0" w:line="240" w:lineRule="auto"/>
                    <w:jc w:val="center"/>
                    <w:rPr>
                      <w:rFonts w:ascii="Times New Roman" w:eastAsia="Times New Roman" w:hAnsi="Times New Roman" w:cs="Times New Roman"/>
                      <w:sz w:val="16"/>
                      <w:szCs w:val="16"/>
                    </w:rPr>
                  </w:pPr>
                </w:p>
              </w:tc>
              <w:tc>
                <w:tcPr>
                  <w:tcW w:w="3340" w:type="pct"/>
                  <w:gridSpan w:val="9"/>
                  <w:tcBorders>
                    <w:left w:val="single" w:sz="12" w:space="0" w:color="0070C0"/>
                    <w:right w:val="single" w:sz="12" w:space="0" w:color="0070C0"/>
                  </w:tcBorders>
                  <w:shd w:val="clear" w:color="auto" w:fill="auto"/>
                  <w:noWrap/>
                  <w:vAlign w:val="center"/>
                  <w:hideMark/>
                </w:tcPr>
                <w:p w:rsidR="009143ED" w:rsidRPr="00F26A05" w:rsidRDefault="009143ED" w:rsidP="009143ED">
                  <w:pPr>
                    <w:framePr w:hSpace="180" w:wrap="around" w:vAnchor="text" w:hAnchor="margin" w:y="-71"/>
                    <w:spacing w:after="0" w:line="240" w:lineRule="auto"/>
                    <w:jc w:val="center"/>
                    <w:rPr>
                      <w:rFonts w:ascii="Times New Roman" w:eastAsia="Times New Roman" w:hAnsi="Times New Roman" w:cs="Times New Roman"/>
                      <w:b/>
                      <w:bCs/>
                      <w:sz w:val="14"/>
                      <w:szCs w:val="14"/>
                    </w:rPr>
                  </w:pPr>
                  <w:r w:rsidRPr="00F26A05">
                    <w:rPr>
                      <w:rFonts w:ascii="Times New Roman" w:eastAsia="Times New Roman" w:hAnsi="Times New Roman" w:cs="Times New Roman"/>
                      <w:b/>
                      <w:bCs/>
                      <w:sz w:val="14"/>
                      <w:szCs w:val="14"/>
                    </w:rPr>
                    <w:t>Performance (%)</w:t>
                  </w:r>
                </w:p>
              </w:tc>
              <w:tc>
                <w:tcPr>
                  <w:tcW w:w="1121" w:type="pct"/>
                  <w:gridSpan w:val="2"/>
                  <w:tcBorders>
                    <w:left w:val="single" w:sz="12" w:space="0" w:color="0070C0"/>
                  </w:tcBorders>
                  <w:shd w:val="clear" w:color="auto" w:fill="auto"/>
                  <w:noWrap/>
                  <w:vAlign w:val="center"/>
                  <w:hideMark/>
                </w:tcPr>
                <w:p w:rsidR="009143ED" w:rsidRPr="00F26A05" w:rsidRDefault="009143ED" w:rsidP="009143ED">
                  <w:pPr>
                    <w:framePr w:hSpace="180" w:wrap="around" w:vAnchor="text" w:hAnchor="margin" w:y="-71"/>
                    <w:spacing w:after="0" w:line="240" w:lineRule="auto"/>
                    <w:jc w:val="center"/>
                    <w:rPr>
                      <w:rFonts w:ascii="Times New Roman" w:eastAsia="Times New Roman" w:hAnsi="Times New Roman" w:cs="Times New Roman"/>
                      <w:b/>
                      <w:bCs/>
                      <w:sz w:val="14"/>
                      <w:szCs w:val="14"/>
                    </w:rPr>
                  </w:pPr>
                  <w:r w:rsidRPr="00F26A05">
                    <w:rPr>
                      <w:rFonts w:ascii="Times New Roman" w:eastAsia="Times New Roman" w:hAnsi="Times New Roman" w:cs="Times New Roman"/>
                      <w:b/>
                      <w:bCs/>
                      <w:sz w:val="14"/>
                      <w:szCs w:val="14"/>
                    </w:rPr>
                    <w:t>Annualized Performance (%)</w:t>
                  </w:r>
                </w:p>
              </w:tc>
            </w:tr>
            <w:tr w:rsidR="009143ED" w:rsidRPr="00252690" w:rsidTr="00F5321A">
              <w:trPr>
                <w:trHeight w:val="255"/>
                <w:jc w:val="center"/>
              </w:trPr>
              <w:tc>
                <w:tcPr>
                  <w:tcW w:w="539" w:type="pct"/>
                  <w:tcBorders>
                    <w:right w:val="single" w:sz="12" w:space="0" w:color="0070C0"/>
                  </w:tcBorders>
                  <w:vAlign w:val="center"/>
                </w:tcPr>
                <w:p w:rsidR="009143ED" w:rsidRPr="001404C8" w:rsidRDefault="009143ED" w:rsidP="009143E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p>
              </w:tc>
              <w:tc>
                <w:tcPr>
                  <w:tcW w:w="362" w:type="pct"/>
                  <w:tcBorders>
                    <w:left w:val="single" w:sz="12" w:space="0" w:color="0070C0"/>
                  </w:tcBorders>
                  <w:shd w:val="clear" w:color="auto" w:fill="auto"/>
                  <w:noWrap/>
                  <w:vAlign w:val="center"/>
                  <w:hideMark/>
                </w:tcPr>
                <w:p w:rsidR="009143ED" w:rsidRPr="0048469C" w:rsidRDefault="009143ED" w:rsidP="009143ED">
                  <w:pPr>
                    <w:framePr w:hSpace="180" w:wrap="around" w:vAnchor="text" w:hAnchor="margin" w:y="-71"/>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Pr>
                      <w:rFonts w:ascii="Times New Roman" w:eastAsia="Times New Roman" w:hAnsi="Times New Roman" w:cs="Times New Roman"/>
                      <w:b/>
                      <w:bCs/>
                      <w:sz w:val="14"/>
                      <w:szCs w:val="14"/>
                    </w:rPr>
                    <w:t>6</w:t>
                  </w:r>
                </w:p>
              </w:tc>
              <w:tc>
                <w:tcPr>
                  <w:tcW w:w="330" w:type="pct"/>
                  <w:shd w:val="clear" w:color="auto" w:fill="auto"/>
                  <w:noWrap/>
                  <w:vAlign w:val="center"/>
                  <w:hideMark/>
                </w:tcPr>
                <w:p w:rsidR="009143ED" w:rsidRPr="0048469C" w:rsidRDefault="009143ED" w:rsidP="009143ED">
                  <w:pPr>
                    <w:framePr w:hSpace="180" w:wrap="around" w:vAnchor="text" w:hAnchor="margin" w:y="-71"/>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Pr>
                      <w:rFonts w:ascii="Times New Roman" w:eastAsia="Times New Roman" w:hAnsi="Times New Roman" w:cs="Times New Roman"/>
                      <w:b/>
                      <w:bCs/>
                      <w:sz w:val="14"/>
                      <w:szCs w:val="14"/>
                    </w:rPr>
                    <w:t>7</w:t>
                  </w:r>
                </w:p>
              </w:tc>
              <w:tc>
                <w:tcPr>
                  <w:tcW w:w="328" w:type="pct"/>
                  <w:tcBorders>
                    <w:right w:val="single" w:sz="12" w:space="0" w:color="0070C0"/>
                  </w:tcBorders>
                  <w:shd w:val="clear" w:color="auto" w:fill="auto"/>
                  <w:noWrap/>
                  <w:vAlign w:val="center"/>
                  <w:hideMark/>
                </w:tcPr>
                <w:p w:rsidR="009143ED" w:rsidRPr="0048469C" w:rsidRDefault="009143ED" w:rsidP="009143ED">
                  <w:pPr>
                    <w:framePr w:hSpace="180" w:wrap="around" w:vAnchor="text" w:hAnchor="margin" w:y="-71"/>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Pr>
                      <w:rFonts w:ascii="Times New Roman" w:eastAsia="Times New Roman" w:hAnsi="Times New Roman" w:cs="Times New Roman"/>
                      <w:b/>
                      <w:bCs/>
                      <w:sz w:val="14"/>
                      <w:szCs w:val="14"/>
                    </w:rPr>
                    <w:t>8</w:t>
                  </w:r>
                </w:p>
              </w:tc>
              <w:tc>
                <w:tcPr>
                  <w:tcW w:w="395" w:type="pct"/>
                  <w:tcBorders>
                    <w:left w:val="single" w:sz="12" w:space="0" w:color="0070C0"/>
                  </w:tcBorders>
                  <w:shd w:val="clear" w:color="auto" w:fill="auto"/>
                  <w:noWrap/>
                  <w:vAlign w:val="center"/>
                  <w:hideMark/>
                </w:tcPr>
                <w:p w:rsidR="009143ED" w:rsidRPr="0048469C" w:rsidRDefault="009143ED" w:rsidP="009143ED">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Pr>
                      <w:rFonts w:ascii="Times New Roman" w:eastAsia="Times New Roman" w:hAnsi="Times New Roman" w:cs="Times New Roman"/>
                      <w:b/>
                      <w:bCs/>
                      <w:color w:val="000000"/>
                      <w:sz w:val="14"/>
                      <w:szCs w:val="16"/>
                    </w:rPr>
                    <w:t>1</w:t>
                  </w:r>
                  <w:r w:rsidRPr="0048469C">
                    <w:rPr>
                      <w:rFonts w:ascii="Times New Roman" w:eastAsia="Times New Roman" w:hAnsi="Times New Roman" w:cs="Times New Roman"/>
                      <w:b/>
                      <w:bCs/>
                      <w:color w:val="000000"/>
                      <w:sz w:val="14"/>
                      <w:szCs w:val="16"/>
                    </w:rPr>
                    <w:t xml:space="preserve"> month</w:t>
                  </w:r>
                </w:p>
              </w:tc>
              <w:tc>
                <w:tcPr>
                  <w:tcW w:w="437" w:type="pct"/>
                  <w:shd w:val="clear" w:color="auto" w:fill="auto"/>
                  <w:noWrap/>
                  <w:vAlign w:val="center"/>
                  <w:hideMark/>
                </w:tcPr>
                <w:p w:rsidR="009143ED" w:rsidRPr="0048469C" w:rsidRDefault="009143ED" w:rsidP="009143ED">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months</w:t>
                  </w:r>
                </w:p>
              </w:tc>
              <w:tc>
                <w:tcPr>
                  <w:tcW w:w="437" w:type="pct"/>
                  <w:shd w:val="clear" w:color="auto" w:fill="auto"/>
                  <w:noWrap/>
                  <w:vAlign w:val="center"/>
                  <w:hideMark/>
                </w:tcPr>
                <w:p w:rsidR="009143ED" w:rsidRPr="0048469C" w:rsidRDefault="009143ED" w:rsidP="009143ED">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6 months</w:t>
                  </w:r>
                </w:p>
              </w:tc>
              <w:tc>
                <w:tcPr>
                  <w:tcW w:w="328" w:type="pct"/>
                  <w:shd w:val="clear" w:color="auto" w:fill="auto"/>
                  <w:noWrap/>
                  <w:vAlign w:val="center"/>
                  <w:hideMark/>
                </w:tcPr>
                <w:p w:rsidR="009143ED" w:rsidRPr="0048469C" w:rsidRDefault="009143ED" w:rsidP="009143ED">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1 year</w:t>
                  </w:r>
                </w:p>
              </w:tc>
              <w:tc>
                <w:tcPr>
                  <w:tcW w:w="361" w:type="pct"/>
                  <w:shd w:val="clear" w:color="auto" w:fill="auto"/>
                  <w:noWrap/>
                  <w:vAlign w:val="center"/>
                  <w:hideMark/>
                </w:tcPr>
                <w:p w:rsidR="009143ED" w:rsidRPr="0048469C" w:rsidRDefault="009143ED" w:rsidP="009143ED">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years</w:t>
                  </w:r>
                </w:p>
              </w:tc>
              <w:tc>
                <w:tcPr>
                  <w:tcW w:w="362" w:type="pct"/>
                  <w:tcBorders>
                    <w:right w:val="single" w:sz="12" w:space="0" w:color="0070C0"/>
                  </w:tcBorders>
                  <w:shd w:val="clear" w:color="auto" w:fill="auto"/>
                  <w:noWrap/>
                  <w:vAlign w:val="center"/>
                  <w:hideMark/>
                </w:tcPr>
                <w:p w:rsidR="009143ED" w:rsidRPr="0048469C" w:rsidRDefault="009143ED" w:rsidP="009143ED">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5 years</w:t>
                  </w:r>
                </w:p>
              </w:tc>
              <w:tc>
                <w:tcPr>
                  <w:tcW w:w="582" w:type="pct"/>
                  <w:tcBorders>
                    <w:left w:val="single" w:sz="12" w:space="0" w:color="0070C0"/>
                  </w:tcBorders>
                  <w:shd w:val="clear" w:color="auto" w:fill="auto"/>
                  <w:noWrap/>
                  <w:vAlign w:val="center"/>
                  <w:hideMark/>
                </w:tcPr>
                <w:p w:rsidR="009143ED" w:rsidRPr="0048469C" w:rsidRDefault="009143ED" w:rsidP="009143ED">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years</w:t>
                  </w:r>
                </w:p>
              </w:tc>
              <w:tc>
                <w:tcPr>
                  <w:tcW w:w="539" w:type="pct"/>
                  <w:shd w:val="clear" w:color="auto" w:fill="auto"/>
                  <w:noWrap/>
                  <w:vAlign w:val="center"/>
                  <w:hideMark/>
                </w:tcPr>
                <w:p w:rsidR="009143ED" w:rsidRPr="0048469C" w:rsidRDefault="009143ED" w:rsidP="009143ED">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5 years</w:t>
                  </w:r>
                </w:p>
              </w:tc>
            </w:tr>
            <w:tr w:rsidR="00093CB9" w:rsidRPr="00252690" w:rsidTr="00F5321A">
              <w:trPr>
                <w:trHeight w:val="274"/>
                <w:jc w:val="center"/>
              </w:trPr>
              <w:tc>
                <w:tcPr>
                  <w:tcW w:w="539" w:type="pct"/>
                  <w:tcBorders>
                    <w:right w:val="single" w:sz="12" w:space="0" w:color="0070C0"/>
                  </w:tcBorders>
                  <w:vAlign w:val="center"/>
                </w:tcPr>
                <w:p w:rsidR="00093CB9" w:rsidRPr="001404C8" w:rsidRDefault="00093CB9" w:rsidP="00093CB9">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763C82">
                    <w:rPr>
                      <w:rFonts w:ascii="Times New Roman" w:eastAsia="Times New Roman" w:hAnsi="Times New Roman" w:cs="Times New Roman"/>
                      <w:b/>
                      <w:bCs/>
                      <w:color w:val="000000"/>
                      <w:sz w:val="14"/>
                      <w:szCs w:val="14"/>
                    </w:rPr>
                    <w:t>VN</w:t>
                  </w:r>
                  <w:r>
                    <w:rPr>
                      <w:rFonts w:ascii="Times New Roman" w:eastAsia="Times New Roman" w:hAnsi="Times New Roman" w:cs="Times New Roman"/>
                      <w:b/>
                      <w:bCs/>
                      <w:color w:val="000000"/>
                      <w:sz w:val="14"/>
                      <w:szCs w:val="14"/>
                    </w:rPr>
                    <w:t>10</w:t>
                  </w:r>
                  <w:r w:rsidRPr="00763C82">
                    <w:rPr>
                      <w:rFonts w:ascii="Times New Roman" w:eastAsia="Times New Roman" w:hAnsi="Times New Roman" w:cs="Times New Roman"/>
                      <w:b/>
                      <w:bCs/>
                      <w:color w:val="000000"/>
                      <w:sz w:val="14"/>
                      <w:szCs w:val="14"/>
                    </w:rPr>
                    <w:t>0</w:t>
                  </w:r>
                </w:p>
              </w:tc>
              <w:tc>
                <w:tcPr>
                  <w:tcW w:w="362" w:type="pct"/>
                  <w:tcBorders>
                    <w:left w:val="single" w:sz="12" w:space="0" w:color="0070C0"/>
                  </w:tcBorders>
                  <w:shd w:val="clear" w:color="auto" w:fill="auto"/>
                  <w:noWrap/>
                  <w:vAlign w:val="center"/>
                  <w:hideMark/>
                </w:tcPr>
                <w:p w:rsidR="00093CB9" w:rsidRPr="0011453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11453A">
                    <w:rPr>
                      <w:rFonts w:ascii="Times New Roman" w:hAnsi="Times New Roman" w:cs="Times New Roman"/>
                      <w:color w:val="000000"/>
                      <w:sz w:val="14"/>
                      <w:szCs w:val="14"/>
                    </w:rPr>
                    <w:t>7.00%</w:t>
                  </w:r>
                </w:p>
              </w:tc>
              <w:tc>
                <w:tcPr>
                  <w:tcW w:w="330" w:type="pct"/>
                  <w:shd w:val="clear" w:color="auto" w:fill="auto"/>
                  <w:noWrap/>
                  <w:vAlign w:val="center"/>
                  <w:hideMark/>
                </w:tcPr>
                <w:p w:rsidR="00093CB9" w:rsidRPr="0011453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11453A">
                    <w:rPr>
                      <w:rFonts w:ascii="Times New Roman" w:hAnsi="Times New Roman" w:cs="Times New Roman"/>
                      <w:color w:val="000000"/>
                      <w:sz w:val="14"/>
                      <w:szCs w:val="14"/>
                    </w:rPr>
                    <w:t>50.21%</w:t>
                  </w:r>
                </w:p>
              </w:tc>
              <w:tc>
                <w:tcPr>
                  <w:tcW w:w="328" w:type="pct"/>
                  <w:tcBorders>
                    <w:right w:val="single" w:sz="12" w:space="0" w:color="0070C0"/>
                  </w:tcBorders>
                  <w:shd w:val="clear" w:color="auto" w:fill="auto"/>
                  <w:noWrap/>
                  <w:vAlign w:val="center"/>
                  <w:hideMark/>
                </w:tcPr>
                <w:p w:rsidR="00093CB9" w:rsidRPr="0011453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11453A">
                    <w:rPr>
                      <w:rFonts w:ascii="Times New Roman" w:hAnsi="Times New Roman" w:cs="Times New Roman"/>
                      <w:color w:val="000000"/>
                      <w:sz w:val="14"/>
                      <w:szCs w:val="14"/>
                    </w:rPr>
                    <w:t>-11.68%</w:t>
                  </w:r>
                </w:p>
              </w:tc>
              <w:tc>
                <w:tcPr>
                  <w:tcW w:w="395" w:type="pct"/>
                  <w:tcBorders>
                    <w:left w:val="single" w:sz="12" w:space="0" w:color="0070C0"/>
                  </w:tcBorders>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-1.86%</w:t>
                  </w:r>
                </w:p>
              </w:tc>
              <w:tc>
                <w:tcPr>
                  <w:tcW w:w="437" w:type="pct"/>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-3.23%</w:t>
                  </w:r>
                </w:p>
              </w:tc>
              <w:tc>
                <w:tcPr>
                  <w:tcW w:w="437" w:type="pct"/>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-0.28%</w:t>
                  </w:r>
                </w:p>
              </w:tc>
              <w:tc>
                <w:tcPr>
                  <w:tcW w:w="328" w:type="pct"/>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-5.30%</w:t>
                  </w:r>
                </w:p>
              </w:tc>
              <w:tc>
                <w:tcPr>
                  <w:tcW w:w="361" w:type="pct"/>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41.82%</w:t>
                  </w:r>
                </w:p>
              </w:tc>
              <w:tc>
                <w:tcPr>
                  <w:tcW w:w="362" w:type="pct"/>
                  <w:tcBorders>
                    <w:right w:val="single" w:sz="12" w:space="0" w:color="0070C0"/>
                  </w:tcBorders>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54.55%</w:t>
                  </w:r>
                </w:p>
              </w:tc>
              <w:tc>
                <w:tcPr>
                  <w:tcW w:w="582" w:type="pct"/>
                  <w:tcBorders>
                    <w:left w:val="single" w:sz="12" w:space="0" w:color="0070C0"/>
                  </w:tcBorders>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12.35%</w:t>
                  </w:r>
                </w:p>
              </w:tc>
              <w:tc>
                <w:tcPr>
                  <w:tcW w:w="539" w:type="pct"/>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9.10%</w:t>
                  </w:r>
                </w:p>
              </w:tc>
            </w:tr>
          </w:tbl>
          <w:p w:rsidR="009143ED" w:rsidRPr="006D2F55" w:rsidRDefault="009143ED" w:rsidP="009143ED">
            <w:pPr>
              <w:jc w:val="center"/>
              <w:rPr>
                <w:rFonts w:ascii="Arial" w:eastAsia="Times New Roman" w:hAnsi="Arial" w:cs="Arial"/>
                <w:color w:val="000000"/>
                <w:sz w:val="24"/>
                <w:szCs w:val="24"/>
              </w:rPr>
            </w:pPr>
          </w:p>
        </w:tc>
      </w:tr>
      <w:tr w:rsidR="009143ED" w:rsidRPr="006D2F55" w:rsidTr="00474BB6">
        <w:tblPrEx>
          <w:tblCellMar>
            <w:left w:w="108" w:type="dxa"/>
            <w:right w:w="108" w:type="dxa"/>
          </w:tblCellMar>
        </w:tblPrEx>
        <w:trPr>
          <w:gridBefore w:val="1"/>
          <w:gridAfter w:val="2"/>
          <w:wBefore w:w="10" w:type="dxa"/>
          <w:wAfter w:w="86" w:type="dxa"/>
          <w:trHeight w:val="298"/>
        </w:trPr>
        <w:tc>
          <w:tcPr>
            <w:tcW w:w="5565" w:type="dxa"/>
            <w:shd w:val="clear" w:color="auto" w:fill="0070C0"/>
            <w:vAlign w:val="center"/>
          </w:tcPr>
          <w:p w:rsidR="009143ED" w:rsidRPr="006D2F55" w:rsidRDefault="009143ED" w:rsidP="009143ED">
            <w:pPr>
              <w:rPr>
                <w:rFonts w:ascii="Times New Roman" w:eastAsia="Times New Roman" w:hAnsi="Times New Roman" w:cs="Times New Roman"/>
              </w:rPr>
            </w:pPr>
            <w:r>
              <w:rPr>
                <w:rFonts w:ascii="Times New Roman" w:hAnsi="Times New Roman" w:cs="Times New Roman"/>
                <w:b/>
                <w:color w:val="FFFFFF" w:themeColor="background1"/>
              </w:rPr>
              <w:t>Sector Breakdown</w:t>
            </w:r>
          </w:p>
        </w:tc>
        <w:tc>
          <w:tcPr>
            <w:tcW w:w="5647" w:type="dxa"/>
            <w:gridSpan w:val="5"/>
            <w:shd w:val="clear" w:color="auto" w:fill="0070C0"/>
            <w:vAlign w:val="center"/>
          </w:tcPr>
          <w:p w:rsidR="009143ED" w:rsidRPr="006D2F55" w:rsidRDefault="009143ED" w:rsidP="009143ED">
            <w:pPr>
              <w:rPr>
                <w:rFonts w:ascii="Times New Roman" w:eastAsia="Times New Roman" w:hAnsi="Times New Roman" w:cs="Times New Roman"/>
              </w:rPr>
            </w:pPr>
            <w:r w:rsidRPr="0006583E">
              <w:rPr>
                <w:rFonts w:ascii="Times New Roman" w:eastAsia="Times New Roman" w:hAnsi="Times New Roman" w:cs="Times New Roman"/>
                <w:b/>
                <w:color w:val="FFFFFF" w:themeColor="background1"/>
                <w:szCs w:val="12"/>
              </w:rPr>
              <w:t>Top-10 Constituents of Market Capitalization</w:t>
            </w:r>
          </w:p>
        </w:tc>
      </w:tr>
      <w:tr w:rsidR="009143ED" w:rsidRPr="006D2F55" w:rsidTr="00BB2873">
        <w:tblPrEx>
          <w:tblCellMar>
            <w:left w:w="108" w:type="dxa"/>
            <w:right w:w="108" w:type="dxa"/>
          </w:tblCellMar>
        </w:tblPrEx>
        <w:trPr>
          <w:gridBefore w:val="1"/>
          <w:gridAfter w:val="2"/>
          <w:wBefore w:w="10" w:type="dxa"/>
          <w:wAfter w:w="86" w:type="dxa"/>
          <w:trHeight w:hRule="exact" w:val="4303"/>
        </w:trPr>
        <w:tc>
          <w:tcPr>
            <w:tcW w:w="5565" w:type="dxa"/>
          </w:tcPr>
          <w:p w:rsidR="009143ED" w:rsidRPr="006D2F55" w:rsidRDefault="001D5280" w:rsidP="009143ED">
            <w:pPr>
              <w:jc w:val="center"/>
              <w:rPr>
                <w:rFonts w:ascii="Arial" w:eastAsia="Times New Roman" w:hAnsi="Arial" w:cs="Arial"/>
              </w:rPr>
            </w:pPr>
            <w:r>
              <w:rPr>
                <w:rFonts w:ascii="Arial" w:eastAsia="Times New Roman" w:hAnsi="Arial" w:cs="Arial"/>
                <w:noProof/>
              </w:rPr>
              <w:drawing>
                <wp:inline distT="0" distB="0" distL="0" distR="0" wp14:anchorId="56E3E28A">
                  <wp:extent cx="3474720" cy="26212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4720" cy="2621280"/>
                          </a:xfrm>
                          <a:prstGeom prst="rect">
                            <a:avLst/>
                          </a:prstGeom>
                          <a:noFill/>
                        </pic:spPr>
                      </pic:pic>
                    </a:graphicData>
                  </a:graphic>
                </wp:inline>
              </w:drawing>
            </w:r>
            <w:r w:rsidR="00BB2873">
              <w:rPr>
                <w:noProof/>
              </w:rPr>
              <w:drawing>
                <wp:inline distT="0" distB="0" distL="0" distR="0" wp14:anchorId="71ADC3D6" wp14:editId="653A3075">
                  <wp:extent cx="3396615" cy="2562860"/>
                  <wp:effectExtent l="0" t="0" r="0" b="8890"/>
                  <wp:docPr id="1" name="Chart 1">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647" w:type="dxa"/>
            <w:gridSpan w:val="5"/>
            <w:vMerge w:val="restart"/>
          </w:tcPr>
          <w:tbl>
            <w:tblPr>
              <w:tblpPr w:leftFromText="180" w:rightFromText="180" w:vertAnchor="page" w:horzAnchor="margin" w:tblpXSpec="center" w:tblpY="128"/>
              <w:tblOverlap w:val="never"/>
              <w:tblW w:w="5005"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434"/>
              <w:gridCol w:w="646"/>
              <w:gridCol w:w="1545"/>
              <w:gridCol w:w="1649"/>
              <w:gridCol w:w="731"/>
            </w:tblGrid>
            <w:tr w:rsidR="009143ED" w:rsidRPr="00BB4F59" w:rsidTr="00E30240">
              <w:trPr>
                <w:trHeight w:val="343"/>
              </w:trPr>
              <w:tc>
                <w:tcPr>
                  <w:tcW w:w="434" w:type="dxa"/>
                  <w:shd w:val="clear" w:color="auto" w:fill="auto"/>
                  <w:noWrap/>
                  <w:vAlign w:val="center"/>
                  <w:hideMark/>
                </w:tcPr>
                <w:p w:rsidR="009143ED" w:rsidRPr="002F4991" w:rsidRDefault="009143ED" w:rsidP="009143ED">
                  <w:pPr>
                    <w:spacing w:after="0" w:line="240" w:lineRule="auto"/>
                    <w:jc w:val="center"/>
                    <w:rPr>
                      <w:rFonts w:ascii="Times New Roman" w:eastAsia="Times New Roman" w:hAnsi="Times New Roman" w:cs="Times New Roman"/>
                      <w:b/>
                      <w:bCs/>
                      <w:color w:val="000000"/>
                      <w:sz w:val="14"/>
                      <w:szCs w:val="14"/>
                    </w:rPr>
                  </w:pPr>
                </w:p>
              </w:tc>
              <w:tc>
                <w:tcPr>
                  <w:tcW w:w="646" w:type="dxa"/>
                  <w:shd w:val="clear" w:color="auto" w:fill="auto"/>
                  <w:noWrap/>
                  <w:vAlign w:val="center"/>
                  <w:hideMark/>
                </w:tcPr>
                <w:p w:rsidR="009143ED" w:rsidRPr="007F1789" w:rsidRDefault="009143ED" w:rsidP="009143ED">
                  <w:pPr>
                    <w:spacing w:after="0" w:line="240" w:lineRule="auto"/>
                    <w:ind w:right="-53"/>
                    <w:jc w:val="center"/>
                    <w:rPr>
                      <w:rFonts w:ascii="Times New Roman" w:eastAsia="Times New Roman" w:hAnsi="Times New Roman" w:cs="Times New Roman"/>
                      <w:b/>
                      <w:bCs/>
                      <w:color w:val="000000"/>
                      <w:sz w:val="14"/>
                      <w:szCs w:val="14"/>
                    </w:rPr>
                  </w:pPr>
                  <w:r w:rsidRPr="007F1789">
                    <w:rPr>
                      <w:rFonts w:ascii="Times New Roman" w:eastAsia="Times New Roman" w:hAnsi="Times New Roman" w:cs="Times New Roman"/>
                      <w:b/>
                      <w:bCs/>
                      <w:color w:val="000000"/>
                      <w:sz w:val="14"/>
                      <w:szCs w:val="14"/>
                    </w:rPr>
                    <w:t>Stock</w:t>
                  </w:r>
                </w:p>
              </w:tc>
              <w:tc>
                <w:tcPr>
                  <w:tcW w:w="1545" w:type="dxa"/>
                  <w:shd w:val="clear" w:color="auto" w:fill="auto"/>
                  <w:noWrap/>
                  <w:vAlign w:val="center"/>
                  <w:hideMark/>
                </w:tcPr>
                <w:p w:rsidR="009143ED" w:rsidRPr="007F1789" w:rsidRDefault="009143ED" w:rsidP="009143ED">
                  <w:pPr>
                    <w:spacing w:after="0" w:line="240" w:lineRule="auto"/>
                    <w:jc w:val="center"/>
                    <w:rPr>
                      <w:rFonts w:ascii="Times New Roman" w:eastAsia="Times New Roman" w:hAnsi="Times New Roman" w:cs="Times New Roman"/>
                      <w:b/>
                      <w:bCs/>
                      <w:color w:val="000000"/>
                      <w:sz w:val="14"/>
                      <w:szCs w:val="14"/>
                    </w:rPr>
                  </w:pPr>
                  <w:r w:rsidRPr="007F1789">
                    <w:rPr>
                      <w:rFonts w:ascii="Times New Roman" w:eastAsia="Times New Roman" w:hAnsi="Times New Roman" w:cs="Times New Roman"/>
                      <w:b/>
                      <w:bCs/>
                      <w:color w:val="000000"/>
                      <w:sz w:val="14"/>
                      <w:szCs w:val="14"/>
                    </w:rPr>
                    <w:t>Sector</w:t>
                  </w:r>
                </w:p>
              </w:tc>
              <w:tc>
                <w:tcPr>
                  <w:tcW w:w="1649" w:type="dxa"/>
                  <w:shd w:val="clear" w:color="auto" w:fill="auto"/>
                  <w:noWrap/>
                  <w:vAlign w:val="center"/>
                  <w:hideMark/>
                </w:tcPr>
                <w:p w:rsidR="009143ED" w:rsidRPr="007F1789" w:rsidRDefault="009143ED" w:rsidP="009143ED">
                  <w:pPr>
                    <w:spacing w:after="0" w:line="240" w:lineRule="auto"/>
                    <w:jc w:val="center"/>
                    <w:rPr>
                      <w:rFonts w:ascii="Times New Roman" w:eastAsia="Times New Roman" w:hAnsi="Times New Roman" w:cs="Times New Roman"/>
                      <w:b/>
                      <w:bCs/>
                      <w:color w:val="000000"/>
                      <w:sz w:val="14"/>
                      <w:szCs w:val="14"/>
                    </w:rPr>
                  </w:pPr>
                  <w:r>
                    <w:rPr>
                      <w:rFonts w:ascii="Times New Roman" w:eastAsia="Times New Roman" w:hAnsi="Times New Roman" w:cs="Times New Roman"/>
                      <w:b/>
                      <w:bCs/>
                      <w:color w:val="000000"/>
                      <w:sz w:val="14"/>
                      <w:szCs w:val="14"/>
                    </w:rPr>
                    <w:t>Free-</w:t>
                  </w:r>
                  <w:r w:rsidRPr="007F1789">
                    <w:rPr>
                      <w:rFonts w:ascii="Times New Roman" w:eastAsia="Times New Roman" w:hAnsi="Times New Roman" w:cs="Times New Roman"/>
                      <w:b/>
                      <w:bCs/>
                      <w:color w:val="000000"/>
                      <w:sz w:val="14"/>
                      <w:szCs w:val="14"/>
                    </w:rPr>
                    <w:t>float adjusted market-cap (</w:t>
                  </w:r>
                  <w:r>
                    <w:rPr>
                      <w:rFonts w:ascii="Times New Roman" w:eastAsia="Times New Roman" w:hAnsi="Times New Roman" w:cs="Times New Roman"/>
                      <w:b/>
                      <w:bCs/>
                      <w:color w:val="000000"/>
                      <w:sz w:val="14"/>
                      <w:szCs w:val="14"/>
                    </w:rPr>
                    <w:t>Billion VND</w:t>
                  </w:r>
                  <w:r w:rsidRPr="007F1789">
                    <w:rPr>
                      <w:rFonts w:ascii="Times New Roman" w:eastAsia="Times New Roman" w:hAnsi="Times New Roman" w:cs="Times New Roman"/>
                      <w:b/>
                      <w:bCs/>
                      <w:color w:val="000000"/>
                      <w:sz w:val="14"/>
                      <w:szCs w:val="14"/>
                    </w:rPr>
                    <w:t>)</w:t>
                  </w:r>
                </w:p>
              </w:tc>
              <w:tc>
                <w:tcPr>
                  <w:tcW w:w="731" w:type="dxa"/>
                  <w:shd w:val="clear" w:color="auto" w:fill="auto"/>
                  <w:noWrap/>
                  <w:vAlign w:val="center"/>
                  <w:hideMark/>
                </w:tcPr>
                <w:p w:rsidR="009143ED" w:rsidRPr="007F1789" w:rsidRDefault="009143ED" w:rsidP="009143ED">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Weight</w:t>
                  </w:r>
                </w:p>
                <w:p w:rsidR="009143ED" w:rsidRPr="007F1789" w:rsidRDefault="009143ED" w:rsidP="009143ED">
                  <w:pPr>
                    <w:spacing w:after="0" w:line="240" w:lineRule="auto"/>
                    <w:jc w:val="center"/>
                    <w:rPr>
                      <w:rFonts w:ascii="Times New Roman" w:eastAsia="Times New Roman" w:hAnsi="Times New Roman" w:cs="Times New Roman"/>
                      <w:b/>
                      <w:bCs/>
                      <w:color w:val="000000"/>
                      <w:sz w:val="14"/>
                      <w:szCs w:val="14"/>
                    </w:rPr>
                  </w:pPr>
                  <w:r w:rsidRPr="007F1789">
                    <w:rPr>
                      <w:rFonts w:ascii="Times New Roman" w:eastAsia="Times New Roman" w:hAnsi="Times New Roman" w:cs="Times New Roman"/>
                      <w:b/>
                      <w:sz w:val="14"/>
                      <w:szCs w:val="14"/>
                    </w:rPr>
                    <w:t>(%)</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1</w:t>
                  </w:r>
                </w:p>
              </w:tc>
              <w:tc>
                <w:tcPr>
                  <w:tcW w:w="64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VNM</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Consumer Staples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112,756</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12.06%</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2</w:t>
                  </w:r>
                </w:p>
              </w:tc>
              <w:tc>
                <w:tcPr>
                  <w:tcW w:w="64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VIC</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Real Estate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109,728</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11.74%</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3</w:t>
                  </w:r>
                </w:p>
              </w:tc>
              <w:tc>
                <w:tcPr>
                  <w:tcW w:w="64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VHM</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Real Estate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68,665</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7.35%</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4</w:t>
                  </w:r>
                </w:p>
              </w:tc>
              <w:tc>
                <w:tcPr>
                  <w:tcW w:w="64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TCB</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Financials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51,365</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5.49%</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5</w:t>
                  </w:r>
                </w:p>
              </w:tc>
              <w:tc>
                <w:tcPr>
                  <w:tcW w:w="64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HPG</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Materials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40,906</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4.38%</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6</w:t>
                  </w:r>
                </w:p>
              </w:tc>
              <w:tc>
                <w:tcPr>
                  <w:tcW w:w="64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MSN</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Consumer Staples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39,919</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4.27%</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7</w:t>
                  </w:r>
                </w:p>
              </w:tc>
              <w:tc>
                <w:tcPr>
                  <w:tcW w:w="64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VRE</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Real Estate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36,469</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3.90%</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8</w:t>
                  </w:r>
                </w:p>
              </w:tc>
              <w:tc>
                <w:tcPr>
                  <w:tcW w:w="64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VJC</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Industrials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33,715</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3.61%</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9</w:t>
                  </w:r>
                </w:p>
              </w:tc>
              <w:tc>
                <w:tcPr>
                  <w:tcW w:w="64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VPB</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Financials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31,299</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3.35%</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10</w:t>
                  </w:r>
                </w:p>
              </w:tc>
              <w:tc>
                <w:tcPr>
                  <w:tcW w:w="64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MBB</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Financials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26,439</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2.83%</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p>
              </w:tc>
              <w:tc>
                <w:tcPr>
                  <w:tcW w:w="646" w:type="dxa"/>
                  <w:shd w:val="clear" w:color="auto" w:fill="auto"/>
                  <w:noWrap/>
                  <w:vAlign w:val="center"/>
                  <w:hideMark/>
                </w:tcPr>
                <w:p w:rsidR="00093CB9"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p>
              </w:tc>
              <w:tc>
                <w:tcPr>
                  <w:tcW w:w="1545" w:type="dxa"/>
                  <w:shd w:val="clear" w:color="auto" w:fill="auto"/>
                  <w:noWrap/>
                  <w:vAlign w:val="center"/>
                  <w:hideMark/>
                </w:tcPr>
                <w:p w:rsidR="00093CB9" w:rsidRDefault="00093CB9" w:rsidP="00093CB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Total</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b/>
                      <w:color w:val="000000"/>
                      <w:sz w:val="14"/>
                      <w:szCs w:val="14"/>
                    </w:rPr>
                  </w:pPr>
                  <w:r w:rsidRPr="00C44ECA">
                    <w:rPr>
                      <w:rFonts w:ascii="Times New Roman" w:hAnsi="Times New Roman" w:cs="Times New Roman"/>
                      <w:b/>
                      <w:color w:val="000000"/>
                      <w:sz w:val="14"/>
                      <w:szCs w:val="14"/>
                    </w:rPr>
                    <w:t>551,262</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b/>
                      <w:bCs/>
                      <w:color w:val="000000"/>
                      <w:sz w:val="14"/>
                      <w:szCs w:val="14"/>
                    </w:rPr>
                  </w:pPr>
                  <w:r w:rsidRPr="00C44ECA">
                    <w:rPr>
                      <w:rFonts w:ascii="Times New Roman" w:hAnsi="Times New Roman" w:cs="Times New Roman"/>
                      <w:b/>
                      <w:bCs/>
                      <w:color w:val="000000"/>
                      <w:sz w:val="14"/>
                      <w:szCs w:val="14"/>
                    </w:rPr>
                    <w:t>58.97%</w:t>
                  </w:r>
                </w:p>
              </w:tc>
            </w:tr>
          </w:tbl>
          <w:p w:rsidR="009143ED" w:rsidRDefault="009143ED" w:rsidP="009143ED">
            <w:pPr>
              <w:rPr>
                <w:rFonts w:ascii="Arial" w:eastAsia="Times New Roman" w:hAnsi="Arial" w:cs="Arial"/>
              </w:rPr>
            </w:pPr>
          </w:p>
          <w:tbl>
            <w:tblPr>
              <w:tblStyle w:val="TableGrid"/>
              <w:tblW w:w="0" w:type="auto"/>
              <w:tblLayout w:type="fixed"/>
              <w:tblLook w:val="04A0" w:firstRow="1" w:lastRow="0" w:firstColumn="1" w:lastColumn="0" w:noHBand="0" w:noVBand="1"/>
            </w:tblPr>
            <w:tblGrid>
              <w:gridCol w:w="4985"/>
            </w:tblGrid>
            <w:tr w:rsidR="009143ED" w:rsidTr="00E30240">
              <w:trPr>
                <w:trHeight w:val="1884"/>
              </w:trPr>
              <w:tc>
                <w:tcPr>
                  <w:tcW w:w="4985" w:type="dxa"/>
                </w:tcPr>
                <w:p w:rsidR="009143ED" w:rsidRPr="00022FED" w:rsidRDefault="009143ED" w:rsidP="0074250D">
                  <w:pPr>
                    <w:framePr w:hSpace="180" w:wrap="around" w:vAnchor="text" w:hAnchor="margin" w:y="-71"/>
                    <w:jc w:val="both"/>
                    <w:rPr>
                      <w:rFonts w:ascii="Times New Roman" w:hAnsi="Times New Roman" w:cs="Times New Roman"/>
                      <w:sz w:val="14"/>
                      <w:szCs w:val="16"/>
                    </w:rPr>
                  </w:pPr>
                  <w:r w:rsidRPr="00022FED">
                    <w:rPr>
                      <w:rFonts w:ascii="Times New Roman" w:hAnsi="Times New Roman" w:cs="Times New Roman"/>
                      <w:b/>
                      <w:sz w:val="14"/>
                      <w:szCs w:val="16"/>
                    </w:rPr>
                    <w:t xml:space="preserve">Disclaimer: </w:t>
                  </w:r>
                  <w:r w:rsidRPr="00022FED">
                    <w:rPr>
                      <w:rFonts w:ascii="Times New Roman" w:hAnsi="Times New Roman" w:cs="Times New Roman"/>
                      <w:sz w:val="14"/>
                      <w:szCs w:val="16"/>
                    </w:rPr>
                    <w:t>"</w:t>
                  </w:r>
                  <w:r w:rsidRPr="00022FED">
                    <w:rPr>
                      <w:rFonts w:ascii="Times New Roman" w:hAnsi="Times New Roman" w:cs="Times New Roman"/>
                      <w:b/>
                      <w:sz w:val="14"/>
                      <w:szCs w:val="16"/>
                    </w:rPr>
                    <w:t>VN30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VNMidcap</w:t>
                  </w:r>
                  <w:proofErr w:type="spellEnd"/>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VNSmallCap</w:t>
                  </w:r>
                  <w:proofErr w:type="spellEnd"/>
                  <w:r w:rsidRPr="00022FED">
                    <w:rPr>
                      <w:rFonts w:ascii="Times New Roman" w:hAnsi="Times New Roman" w:cs="Times New Roman"/>
                      <w:sz w:val="14"/>
                      <w:szCs w:val="16"/>
                    </w:rPr>
                    <w:t>", “</w:t>
                  </w:r>
                  <w:r w:rsidRPr="00022FED">
                    <w:rPr>
                      <w:rFonts w:ascii="Times New Roman" w:hAnsi="Times New Roman" w:cs="Times New Roman"/>
                      <w:b/>
                      <w:sz w:val="14"/>
                      <w:szCs w:val="16"/>
                    </w:rPr>
                    <w:t>VN100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sz w:val="14"/>
                      <w:szCs w:val="16"/>
                    </w:rPr>
                    <w:t>” and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b/>
                      <w:sz w:val="14"/>
                      <w:szCs w:val="16"/>
                    </w:rPr>
                    <w:t xml:space="preserve"> Sector</w:t>
                  </w:r>
                  <w:r w:rsidRPr="00022FED">
                    <w:rPr>
                      <w:rFonts w:ascii="Times New Roman" w:hAnsi="Times New Roman" w:cs="Times New Roman"/>
                      <w:sz w:val="14"/>
                      <w:szCs w:val="16"/>
                    </w:rPr>
                    <w:t>" (collectively called "</w:t>
                  </w:r>
                  <w:r w:rsidRPr="00022FED">
                    <w:rPr>
                      <w:rFonts w:ascii="Times New Roman" w:hAnsi="Times New Roman" w:cs="Times New Roman"/>
                      <w:b/>
                      <w:sz w:val="14"/>
                      <w:szCs w:val="16"/>
                    </w:rPr>
                    <w:t>HOSE-Index</w:t>
                  </w:r>
                  <w:r w:rsidRPr="00022FED">
                    <w:rPr>
                      <w:rFonts w:ascii="Times New Roman" w:hAnsi="Times New Roman" w:cs="Times New Roman"/>
                      <w:sz w:val="14"/>
                      <w:szCs w:val="16"/>
                    </w:rPr>
                    <w:t xml:space="preserve">") are the registered trademarks and/or service mark solely owned by, and proprietary to the </w:t>
                  </w:r>
                  <w:proofErr w:type="spellStart"/>
                  <w:r w:rsidRPr="00022FED">
                    <w:rPr>
                      <w:rFonts w:ascii="Times New Roman" w:hAnsi="Times New Roman" w:cs="Times New Roman"/>
                      <w:sz w:val="14"/>
                      <w:szCs w:val="16"/>
                    </w:rPr>
                    <w:t>Hochiminh</w:t>
                  </w:r>
                  <w:proofErr w:type="spellEnd"/>
                  <w:r w:rsidRPr="00022FED">
                    <w:rPr>
                      <w:rFonts w:ascii="Times New Roman" w:hAnsi="Times New Roman" w:cs="Times New Roman"/>
                      <w:sz w:val="14"/>
                      <w:szCs w:val="16"/>
                    </w:rPr>
                    <w:t xml:space="preserve"> Stock Exchange</w:t>
                  </w:r>
                  <w:r>
                    <w:rPr>
                      <w:rFonts w:ascii="Times New Roman" w:hAnsi="Times New Roman" w:cs="Times New Roman"/>
                      <w:sz w:val="14"/>
                      <w:szCs w:val="16"/>
                    </w:rPr>
                    <w:t xml:space="preserve"> (HOSE)</w:t>
                  </w:r>
                  <w:r w:rsidRPr="00022FED">
                    <w:rPr>
                      <w:rFonts w:ascii="Times New Roman" w:hAnsi="Times New Roman" w:cs="Times New Roman"/>
                      <w:sz w:val="14"/>
                      <w:szCs w:val="16"/>
                    </w:rPr>
                    <w:t xml:space="preserve">. HOSE-Index can be used to create a range of index-linked products including but not limited to tracker funds, derivatives, etc. Such product creation is subject to approval by HOSE. For more information, please contact via e-mail: </w:t>
                  </w:r>
                  <w:r w:rsidRPr="00022FED">
                    <w:rPr>
                      <w:rFonts w:ascii="Times New Roman" w:hAnsi="Times New Roman" w:cs="Times New Roman"/>
                      <w:i/>
                      <w:sz w:val="14"/>
                      <w:szCs w:val="16"/>
                    </w:rPr>
                    <w:t>index@hsx.vn</w:t>
                  </w:r>
                </w:p>
                <w:p w:rsidR="009143ED" w:rsidRPr="00D20BEE" w:rsidRDefault="009143ED" w:rsidP="0074250D">
                  <w:pPr>
                    <w:framePr w:hSpace="180" w:wrap="around" w:vAnchor="text" w:hAnchor="margin" w:y="-71"/>
                    <w:jc w:val="both"/>
                    <w:rPr>
                      <w:rFonts w:ascii="Times New Roman" w:hAnsi="Times New Roman" w:cs="Times New Roman"/>
                      <w:sz w:val="12"/>
                      <w:szCs w:val="12"/>
                    </w:rPr>
                  </w:pPr>
                  <w:r w:rsidRPr="00022FED">
                    <w:rPr>
                      <w:rFonts w:ascii="Times New Roman" w:hAnsi="Times New Roman" w:cs="Times New Roman"/>
                      <w:sz w:val="14"/>
                      <w:szCs w:val="16"/>
                    </w:rPr>
                    <w:t>All information is provided for information purposes only. Every effort is made to ensure that all information given in this publication is accurate, but no responsibility or liability can be accepted by HOSE nor its</w:t>
                  </w:r>
                  <w:r w:rsidRPr="00022FED">
                    <w:rPr>
                      <w:rFonts w:ascii="Times New Roman" w:hAnsi="Times New Roman" w:cs="Times New Roman"/>
                    </w:rPr>
                    <w:t xml:space="preserve"> </w:t>
                  </w:r>
                  <w:r w:rsidRPr="00022FED">
                    <w:rPr>
                      <w:rFonts w:ascii="Times New Roman" w:hAnsi="Times New Roman" w:cs="Times New Roman"/>
                      <w:sz w:val="14"/>
                      <w:szCs w:val="16"/>
                    </w:rPr>
                    <w:t>directors, officers, employees, partners or licensors for any errors or for any loss from use of this publication or any of the information or data contained herein.</w:t>
                  </w:r>
                </w:p>
              </w:tc>
            </w:tr>
          </w:tbl>
          <w:p w:rsidR="009143ED" w:rsidRPr="006D2F55" w:rsidRDefault="009143ED" w:rsidP="009143ED">
            <w:pPr>
              <w:jc w:val="center"/>
              <w:rPr>
                <w:rFonts w:ascii="Arial" w:eastAsia="Times New Roman" w:hAnsi="Arial" w:cs="Arial"/>
              </w:rPr>
            </w:pPr>
          </w:p>
        </w:tc>
      </w:tr>
      <w:tr w:rsidR="009143ED" w:rsidRPr="006D2F55" w:rsidTr="00474BB6">
        <w:tblPrEx>
          <w:tblCellMar>
            <w:left w:w="108" w:type="dxa"/>
            <w:right w:w="108" w:type="dxa"/>
          </w:tblCellMar>
        </w:tblPrEx>
        <w:trPr>
          <w:gridBefore w:val="1"/>
          <w:gridAfter w:val="2"/>
          <w:wBefore w:w="10" w:type="dxa"/>
          <w:wAfter w:w="86" w:type="dxa"/>
          <w:trHeight w:val="302"/>
        </w:trPr>
        <w:tc>
          <w:tcPr>
            <w:tcW w:w="5565" w:type="dxa"/>
            <w:shd w:val="clear" w:color="auto" w:fill="0070C0"/>
            <w:vAlign w:val="center"/>
          </w:tcPr>
          <w:p w:rsidR="009143ED" w:rsidRPr="00252690" w:rsidRDefault="009143ED" w:rsidP="009143ED">
            <w:pPr>
              <w:rPr>
                <w:rFonts w:ascii="Arial" w:eastAsia="Times New Roman" w:hAnsi="Arial" w:cs="Arial"/>
              </w:rPr>
            </w:pPr>
            <w:r w:rsidRPr="0006583E">
              <w:rPr>
                <w:rFonts w:ascii="Times New Roman" w:eastAsia="Times New Roman" w:hAnsi="Times New Roman" w:cs="Times New Roman"/>
                <w:b/>
                <w:color w:val="FFFFFF" w:themeColor="background1"/>
                <w:szCs w:val="12"/>
              </w:rPr>
              <w:t>Top-5 Sectors of Market Capitalization</w:t>
            </w:r>
          </w:p>
        </w:tc>
        <w:tc>
          <w:tcPr>
            <w:tcW w:w="5647" w:type="dxa"/>
            <w:gridSpan w:val="5"/>
            <w:vMerge/>
          </w:tcPr>
          <w:p w:rsidR="009143ED" w:rsidRPr="006D2F55" w:rsidRDefault="009143ED" w:rsidP="009143ED">
            <w:pPr>
              <w:jc w:val="center"/>
              <w:rPr>
                <w:rFonts w:ascii="Arial" w:eastAsia="Times New Roman" w:hAnsi="Arial" w:cs="Arial"/>
              </w:rPr>
            </w:pPr>
          </w:p>
        </w:tc>
      </w:tr>
      <w:tr w:rsidR="009143ED" w:rsidRPr="006D2F55" w:rsidTr="00474BB6">
        <w:tblPrEx>
          <w:tblCellMar>
            <w:left w:w="108" w:type="dxa"/>
            <w:right w:w="108" w:type="dxa"/>
          </w:tblCellMar>
        </w:tblPrEx>
        <w:trPr>
          <w:gridBefore w:val="1"/>
          <w:gridAfter w:val="2"/>
          <w:wBefore w:w="10" w:type="dxa"/>
          <w:wAfter w:w="86" w:type="dxa"/>
          <w:trHeight w:hRule="exact" w:val="2566"/>
        </w:trPr>
        <w:tc>
          <w:tcPr>
            <w:tcW w:w="5565" w:type="dxa"/>
          </w:tcPr>
          <w:tbl>
            <w:tblPr>
              <w:tblpPr w:leftFromText="180" w:rightFromText="180" w:vertAnchor="page" w:horzAnchor="margin" w:tblpY="1"/>
              <w:tblOverlap w:val="never"/>
              <w:tblW w:w="5776"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1485"/>
              <w:gridCol w:w="1228"/>
              <w:gridCol w:w="2135"/>
              <w:gridCol w:w="928"/>
            </w:tblGrid>
            <w:tr w:rsidR="009143ED" w:rsidRPr="000C45C8" w:rsidTr="00E30240">
              <w:trPr>
                <w:trHeight w:val="328"/>
              </w:trPr>
              <w:tc>
                <w:tcPr>
                  <w:tcW w:w="1485" w:type="dxa"/>
                  <w:shd w:val="clear" w:color="auto" w:fill="auto"/>
                  <w:noWrap/>
                  <w:vAlign w:val="center"/>
                  <w:hideMark/>
                </w:tcPr>
                <w:p w:rsidR="009143ED" w:rsidRPr="007F1789" w:rsidRDefault="009143ED" w:rsidP="009143ED">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Sector</w:t>
                  </w:r>
                </w:p>
              </w:tc>
              <w:tc>
                <w:tcPr>
                  <w:tcW w:w="1228" w:type="dxa"/>
                  <w:shd w:val="clear" w:color="auto" w:fill="auto"/>
                  <w:noWrap/>
                  <w:vAlign w:val="center"/>
                  <w:hideMark/>
                </w:tcPr>
                <w:p w:rsidR="009143ED" w:rsidRPr="007F1789" w:rsidRDefault="009143ED" w:rsidP="009143ED">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Number of Companies</w:t>
                  </w:r>
                </w:p>
              </w:tc>
              <w:tc>
                <w:tcPr>
                  <w:tcW w:w="2135" w:type="dxa"/>
                  <w:vAlign w:val="center"/>
                </w:tcPr>
                <w:p w:rsidR="009143ED" w:rsidRPr="007F1789" w:rsidRDefault="009143ED" w:rsidP="009143ED">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Free-</w:t>
                  </w:r>
                  <w:r w:rsidRPr="007F1789">
                    <w:rPr>
                      <w:rFonts w:ascii="Times New Roman" w:eastAsia="Times New Roman" w:hAnsi="Times New Roman" w:cs="Times New Roman"/>
                      <w:b/>
                      <w:sz w:val="14"/>
                      <w:szCs w:val="14"/>
                    </w:rPr>
                    <w:t>float adjusted</w:t>
                  </w:r>
                </w:p>
                <w:p w:rsidR="009143ED" w:rsidRPr="007F1789" w:rsidRDefault="009143ED" w:rsidP="009143ED">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market-cap </w:t>
                  </w:r>
                  <w:r w:rsidRPr="007F1789">
                    <w:rPr>
                      <w:rFonts w:ascii="Times New Roman" w:eastAsia="Times New Roman" w:hAnsi="Times New Roman" w:cs="Times New Roman"/>
                      <w:b/>
                      <w:bCs/>
                      <w:color w:val="000000"/>
                      <w:sz w:val="14"/>
                      <w:szCs w:val="14"/>
                    </w:rPr>
                    <w:t>(</w:t>
                  </w:r>
                  <w:r>
                    <w:rPr>
                      <w:rFonts w:ascii="Times New Roman" w:eastAsia="Times New Roman" w:hAnsi="Times New Roman" w:cs="Times New Roman"/>
                      <w:b/>
                      <w:bCs/>
                      <w:color w:val="000000"/>
                      <w:sz w:val="14"/>
                      <w:szCs w:val="14"/>
                    </w:rPr>
                    <w:t>Billion VND</w:t>
                  </w:r>
                  <w:r w:rsidRPr="007F1789">
                    <w:rPr>
                      <w:rFonts w:ascii="Times New Roman" w:eastAsia="Times New Roman" w:hAnsi="Times New Roman" w:cs="Times New Roman"/>
                      <w:b/>
                      <w:bCs/>
                      <w:color w:val="000000"/>
                      <w:sz w:val="14"/>
                      <w:szCs w:val="14"/>
                    </w:rPr>
                    <w:t>)</w:t>
                  </w:r>
                </w:p>
              </w:tc>
              <w:tc>
                <w:tcPr>
                  <w:tcW w:w="928" w:type="dxa"/>
                  <w:vAlign w:val="center"/>
                </w:tcPr>
                <w:p w:rsidR="009143ED" w:rsidRPr="007F1789" w:rsidRDefault="009143ED" w:rsidP="009143ED">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Weight</w:t>
                  </w:r>
                </w:p>
                <w:p w:rsidR="009143ED" w:rsidRPr="007F1789" w:rsidRDefault="009143ED" w:rsidP="009143ED">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w:t>
                  </w:r>
                </w:p>
              </w:tc>
            </w:tr>
            <w:tr w:rsidR="00093CB9" w:rsidRPr="000C45C8" w:rsidTr="00E30240">
              <w:trPr>
                <w:trHeight w:val="312"/>
              </w:trPr>
              <w:tc>
                <w:tcPr>
                  <w:tcW w:w="1485" w:type="dxa"/>
                  <w:shd w:val="clear" w:color="auto" w:fill="auto"/>
                  <w:noWrap/>
                  <w:vAlign w:val="center"/>
                  <w:hideMark/>
                </w:tcPr>
                <w:p w:rsidR="00093CB9" w:rsidRPr="00093CB9" w:rsidRDefault="00093CB9" w:rsidP="00093CB9">
                  <w:pPr>
                    <w:jc w:val="center"/>
                    <w:rPr>
                      <w:rFonts w:ascii="Times New Roman" w:hAnsi="Times New Roman" w:cs="Times New Roman"/>
                      <w:b/>
                      <w:bCs/>
                      <w:color w:val="000000"/>
                      <w:sz w:val="14"/>
                      <w:szCs w:val="14"/>
                    </w:rPr>
                  </w:pPr>
                  <w:r w:rsidRPr="00093CB9">
                    <w:rPr>
                      <w:rFonts w:ascii="Times New Roman" w:hAnsi="Times New Roman" w:cs="Times New Roman"/>
                      <w:b/>
                      <w:bCs/>
                      <w:color w:val="000000"/>
                      <w:sz w:val="14"/>
                      <w:szCs w:val="14"/>
                    </w:rPr>
                    <w:t>Real Estate</w:t>
                  </w:r>
                </w:p>
              </w:tc>
              <w:tc>
                <w:tcPr>
                  <w:tcW w:w="1228"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17</w:t>
                  </w:r>
                </w:p>
              </w:tc>
              <w:tc>
                <w:tcPr>
                  <w:tcW w:w="2135"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269,805</w:t>
                  </w:r>
                </w:p>
              </w:tc>
              <w:tc>
                <w:tcPr>
                  <w:tcW w:w="928"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28.86%</w:t>
                  </w:r>
                </w:p>
              </w:tc>
            </w:tr>
            <w:tr w:rsidR="00093CB9" w:rsidRPr="000C45C8" w:rsidTr="00E30240">
              <w:trPr>
                <w:trHeight w:val="312"/>
              </w:trPr>
              <w:tc>
                <w:tcPr>
                  <w:tcW w:w="1485" w:type="dxa"/>
                  <w:shd w:val="clear" w:color="auto" w:fill="auto"/>
                  <w:noWrap/>
                  <w:vAlign w:val="center"/>
                  <w:hideMark/>
                </w:tcPr>
                <w:p w:rsidR="00093CB9" w:rsidRPr="00093CB9" w:rsidRDefault="00093CB9" w:rsidP="00093CB9">
                  <w:pPr>
                    <w:jc w:val="center"/>
                    <w:rPr>
                      <w:rFonts w:ascii="Times New Roman" w:hAnsi="Times New Roman" w:cs="Times New Roman"/>
                      <w:b/>
                      <w:bCs/>
                      <w:color w:val="000000"/>
                      <w:sz w:val="14"/>
                      <w:szCs w:val="14"/>
                    </w:rPr>
                  </w:pPr>
                  <w:r w:rsidRPr="00093CB9">
                    <w:rPr>
                      <w:rFonts w:ascii="Times New Roman" w:hAnsi="Times New Roman" w:cs="Times New Roman"/>
                      <w:b/>
                      <w:bCs/>
                      <w:color w:val="000000"/>
                      <w:sz w:val="14"/>
                      <w:szCs w:val="14"/>
                    </w:rPr>
                    <w:t>Financials</w:t>
                  </w:r>
                </w:p>
              </w:tc>
              <w:tc>
                <w:tcPr>
                  <w:tcW w:w="1228"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16</w:t>
                  </w:r>
                </w:p>
              </w:tc>
              <w:tc>
                <w:tcPr>
                  <w:tcW w:w="2135"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221,376</w:t>
                  </w:r>
                </w:p>
              </w:tc>
              <w:tc>
                <w:tcPr>
                  <w:tcW w:w="928"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23.68%</w:t>
                  </w:r>
                </w:p>
              </w:tc>
            </w:tr>
            <w:tr w:rsidR="00093CB9" w:rsidRPr="000C45C8" w:rsidTr="00E30240">
              <w:trPr>
                <w:trHeight w:val="312"/>
              </w:trPr>
              <w:tc>
                <w:tcPr>
                  <w:tcW w:w="1485" w:type="dxa"/>
                  <w:shd w:val="clear" w:color="auto" w:fill="auto"/>
                  <w:noWrap/>
                  <w:vAlign w:val="center"/>
                  <w:hideMark/>
                </w:tcPr>
                <w:p w:rsidR="00093CB9" w:rsidRPr="00093CB9" w:rsidRDefault="00093CB9" w:rsidP="00093CB9">
                  <w:pPr>
                    <w:jc w:val="center"/>
                    <w:rPr>
                      <w:rFonts w:ascii="Times New Roman" w:hAnsi="Times New Roman" w:cs="Times New Roman"/>
                      <w:b/>
                      <w:bCs/>
                      <w:color w:val="000000"/>
                      <w:sz w:val="14"/>
                      <w:szCs w:val="14"/>
                    </w:rPr>
                  </w:pPr>
                  <w:r w:rsidRPr="00093CB9">
                    <w:rPr>
                      <w:rFonts w:ascii="Times New Roman" w:hAnsi="Times New Roman" w:cs="Times New Roman"/>
                      <w:b/>
                      <w:bCs/>
                      <w:color w:val="000000"/>
                      <w:sz w:val="14"/>
                      <w:szCs w:val="14"/>
                    </w:rPr>
                    <w:t>Consumer Staples</w:t>
                  </w:r>
                </w:p>
              </w:tc>
              <w:tc>
                <w:tcPr>
                  <w:tcW w:w="1228"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12</w:t>
                  </w:r>
                </w:p>
              </w:tc>
              <w:tc>
                <w:tcPr>
                  <w:tcW w:w="2135"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196,744</w:t>
                  </w:r>
                </w:p>
              </w:tc>
              <w:tc>
                <w:tcPr>
                  <w:tcW w:w="928"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21.05%</w:t>
                  </w:r>
                </w:p>
              </w:tc>
            </w:tr>
            <w:tr w:rsidR="00093CB9" w:rsidRPr="000C45C8" w:rsidTr="00E30240">
              <w:trPr>
                <w:trHeight w:val="312"/>
              </w:trPr>
              <w:tc>
                <w:tcPr>
                  <w:tcW w:w="1485" w:type="dxa"/>
                  <w:shd w:val="clear" w:color="auto" w:fill="auto"/>
                  <w:noWrap/>
                  <w:vAlign w:val="center"/>
                  <w:hideMark/>
                </w:tcPr>
                <w:p w:rsidR="00093CB9" w:rsidRPr="00093CB9" w:rsidRDefault="00093CB9" w:rsidP="00093CB9">
                  <w:pPr>
                    <w:jc w:val="center"/>
                    <w:rPr>
                      <w:rFonts w:ascii="Times New Roman" w:hAnsi="Times New Roman" w:cs="Times New Roman"/>
                      <w:b/>
                      <w:bCs/>
                      <w:color w:val="000000"/>
                      <w:sz w:val="14"/>
                      <w:szCs w:val="14"/>
                    </w:rPr>
                  </w:pPr>
                  <w:r w:rsidRPr="00093CB9">
                    <w:rPr>
                      <w:rFonts w:ascii="Times New Roman" w:hAnsi="Times New Roman" w:cs="Times New Roman"/>
                      <w:b/>
                      <w:bCs/>
                      <w:color w:val="000000"/>
                      <w:sz w:val="14"/>
                      <w:szCs w:val="14"/>
                    </w:rPr>
                    <w:t>Industrials</w:t>
                  </w:r>
                </w:p>
              </w:tc>
              <w:tc>
                <w:tcPr>
                  <w:tcW w:w="1228"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19</w:t>
                  </w:r>
                </w:p>
              </w:tc>
              <w:tc>
                <w:tcPr>
                  <w:tcW w:w="2135"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88,913</w:t>
                  </w:r>
                </w:p>
              </w:tc>
              <w:tc>
                <w:tcPr>
                  <w:tcW w:w="928"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9.51%</w:t>
                  </w:r>
                </w:p>
              </w:tc>
            </w:tr>
            <w:tr w:rsidR="00093CB9" w:rsidRPr="000C45C8" w:rsidTr="00E30240">
              <w:trPr>
                <w:trHeight w:val="312"/>
              </w:trPr>
              <w:tc>
                <w:tcPr>
                  <w:tcW w:w="1485" w:type="dxa"/>
                  <w:shd w:val="clear" w:color="auto" w:fill="auto"/>
                  <w:noWrap/>
                  <w:vAlign w:val="center"/>
                  <w:hideMark/>
                </w:tcPr>
                <w:p w:rsidR="00093CB9" w:rsidRPr="00093CB9" w:rsidRDefault="00093CB9" w:rsidP="00093CB9">
                  <w:pPr>
                    <w:jc w:val="center"/>
                    <w:rPr>
                      <w:rFonts w:ascii="Times New Roman" w:hAnsi="Times New Roman" w:cs="Times New Roman"/>
                      <w:b/>
                      <w:bCs/>
                      <w:color w:val="000000"/>
                      <w:sz w:val="14"/>
                      <w:szCs w:val="14"/>
                    </w:rPr>
                  </w:pPr>
                  <w:r w:rsidRPr="00093CB9">
                    <w:rPr>
                      <w:rFonts w:ascii="Times New Roman" w:hAnsi="Times New Roman" w:cs="Times New Roman"/>
                      <w:b/>
                      <w:bCs/>
                      <w:color w:val="000000"/>
                      <w:sz w:val="14"/>
                      <w:szCs w:val="14"/>
                    </w:rPr>
                    <w:t>Materials</w:t>
                  </w:r>
                </w:p>
              </w:tc>
              <w:tc>
                <w:tcPr>
                  <w:tcW w:w="1228"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14</w:t>
                  </w:r>
                </w:p>
              </w:tc>
              <w:tc>
                <w:tcPr>
                  <w:tcW w:w="2135"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56,178</w:t>
                  </w:r>
                </w:p>
              </w:tc>
              <w:tc>
                <w:tcPr>
                  <w:tcW w:w="928"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6.01%</w:t>
                  </w:r>
                </w:p>
              </w:tc>
            </w:tr>
          </w:tbl>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Default="009143ED" w:rsidP="009143ED">
            <w:pPr>
              <w:jc w:val="center"/>
              <w:rPr>
                <w:rFonts w:ascii="Times New Roman" w:eastAsia="Times New Roman" w:hAnsi="Times New Roman" w:cs="Times New Roman"/>
                <w:b/>
                <w:color w:val="FFFFFF" w:themeColor="background1"/>
                <w:szCs w:val="12"/>
              </w:rPr>
            </w:pPr>
          </w:p>
          <w:p w:rsidR="009143ED" w:rsidRPr="0006583E" w:rsidRDefault="009143ED" w:rsidP="009143ED">
            <w:pPr>
              <w:jc w:val="center"/>
              <w:rPr>
                <w:rFonts w:ascii="Times New Roman" w:eastAsia="Times New Roman" w:hAnsi="Times New Roman" w:cs="Times New Roman"/>
                <w:b/>
                <w:color w:val="FFFFFF" w:themeColor="background1"/>
                <w:szCs w:val="12"/>
              </w:rPr>
            </w:pPr>
          </w:p>
        </w:tc>
        <w:tc>
          <w:tcPr>
            <w:tcW w:w="5647" w:type="dxa"/>
            <w:gridSpan w:val="5"/>
            <w:vMerge/>
          </w:tcPr>
          <w:p w:rsidR="009143ED" w:rsidRPr="006D2F55" w:rsidRDefault="009143ED" w:rsidP="009143ED">
            <w:pPr>
              <w:jc w:val="center"/>
              <w:rPr>
                <w:rFonts w:ascii="Arial" w:eastAsia="Times New Roman" w:hAnsi="Arial" w:cs="Arial"/>
              </w:rPr>
            </w:pPr>
          </w:p>
        </w:tc>
      </w:tr>
      <w:tr w:rsidR="00474BB6" w:rsidRPr="006D2F55" w:rsidTr="00474BB6">
        <w:trPr>
          <w:trHeight w:val="710"/>
        </w:trPr>
        <w:tc>
          <w:tcPr>
            <w:tcW w:w="8981" w:type="dxa"/>
            <w:gridSpan w:val="6"/>
            <w:shd w:val="clear" w:color="auto" w:fill="0070C0"/>
            <w:vAlign w:val="center"/>
          </w:tcPr>
          <w:p w:rsidR="00474BB6" w:rsidRPr="006D2F55" w:rsidRDefault="00474BB6" w:rsidP="00474BB6">
            <w:pPr>
              <w:rPr>
                <w:rFonts w:ascii="Times New Roman" w:hAnsi="Times New Roman" w:cs="Times New Roman"/>
                <w:b/>
                <w:color w:val="FFFFFF" w:themeColor="background1"/>
                <w:sz w:val="52"/>
                <w:szCs w:val="52"/>
              </w:rPr>
            </w:pPr>
            <w:proofErr w:type="spellStart"/>
            <w:r>
              <w:rPr>
                <w:rFonts w:ascii="Times New Roman" w:hAnsi="Times New Roman" w:cs="Times New Roman"/>
                <w:b/>
                <w:color w:val="FFFFFF" w:themeColor="background1"/>
                <w:sz w:val="44"/>
                <w:szCs w:val="52"/>
              </w:rPr>
              <w:lastRenderedPageBreak/>
              <w:t>VNSmallcap</w:t>
            </w:r>
            <w:proofErr w:type="spellEnd"/>
            <w:r>
              <w:rPr>
                <w:rFonts w:ascii="Times New Roman" w:hAnsi="Times New Roman" w:cs="Times New Roman"/>
                <w:b/>
                <w:color w:val="FFFFFF" w:themeColor="background1"/>
                <w:sz w:val="44"/>
                <w:szCs w:val="52"/>
              </w:rPr>
              <w:t xml:space="preserve"> Index</w:t>
            </w:r>
          </w:p>
        </w:tc>
        <w:tc>
          <w:tcPr>
            <w:tcW w:w="2327" w:type="dxa"/>
            <w:gridSpan w:val="3"/>
            <w:shd w:val="clear" w:color="auto" w:fill="0070C0"/>
            <w:vAlign w:val="bottom"/>
          </w:tcPr>
          <w:p w:rsidR="00474BB6" w:rsidRPr="00D6169B" w:rsidRDefault="00474BB6" w:rsidP="00474BB6">
            <w:pPr>
              <w:spacing w:after="120"/>
              <w:jc w:val="right"/>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 xml:space="preserve">Data as at: </w:t>
            </w:r>
            <w:r w:rsidR="00093CB9">
              <w:rPr>
                <w:rFonts w:ascii="Times New Roman" w:eastAsia="Times New Roman" w:hAnsi="Times New Roman" w:cs="Times New Roman"/>
                <w:b/>
                <w:color w:val="FFFFFF" w:themeColor="background1"/>
                <w:sz w:val="18"/>
                <w:szCs w:val="18"/>
              </w:rPr>
              <w:t>31</w:t>
            </w:r>
            <w:r>
              <w:rPr>
                <w:rFonts w:ascii="Times New Roman" w:eastAsia="Times New Roman" w:hAnsi="Times New Roman" w:cs="Times New Roman"/>
                <w:b/>
                <w:color w:val="FFFFFF" w:themeColor="background1"/>
                <w:sz w:val="18"/>
                <w:szCs w:val="18"/>
              </w:rPr>
              <w:t xml:space="preserve"> </w:t>
            </w:r>
            <w:r w:rsidR="00093CB9">
              <w:rPr>
                <w:rFonts w:ascii="Times New Roman" w:eastAsia="Times New Roman" w:hAnsi="Times New Roman" w:cs="Times New Roman"/>
                <w:b/>
                <w:color w:val="FFFFFF" w:themeColor="background1"/>
                <w:sz w:val="18"/>
                <w:szCs w:val="18"/>
              </w:rPr>
              <w:t xml:space="preserve">May </w:t>
            </w:r>
            <w:r>
              <w:rPr>
                <w:rFonts w:ascii="Times New Roman" w:eastAsia="Times New Roman" w:hAnsi="Times New Roman" w:cs="Times New Roman"/>
                <w:b/>
                <w:color w:val="FFFFFF" w:themeColor="background1"/>
                <w:sz w:val="18"/>
                <w:szCs w:val="18"/>
              </w:rPr>
              <w:t>2019</w:t>
            </w:r>
          </w:p>
        </w:tc>
      </w:tr>
      <w:tr w:rsidR="00474BB6" w:rsidRPr="006D2F55" w:rsidTr="00474BB6">
        <w:trPr>
          <w:trHeight w:hRule="exact" w:val="447"/>
        </w:trPr>
        <w:tc>
          <w:tcPr>
            <w:tcW w:w="11308" w:type="dxa"/>
            <w:gridSpan w:val="9"/>
            <w:vAlign w:val="center"/>
          </w:tcPr>
          <w:p w:rsidR="00474BB6" w:rsidRPr="00EC5BD1" w:rsidRDefault="00474BB6" w:rsidP="00474BB6">
            <w:pPr>
              <w:jc w:val="both"/>
              <w:rPr>
                <w:rFonts w:ascii="Times New Roman" w:hAnsi="Times New Roman" w:cs="Times New Roman"/>
                <w:b/>
                <w:sz w:val="16"/>
                <w:szCs w:val="16"/>
              </w:rPr>
            </w:pPr>
            <w:proofErr w:type="spellStart"/>
            <w:r w:rsidRPr="001704E5">
              <w:rPr>
                <w:rFonts w:ascii="Times New Roman" w:hAnsi="Times New Roman" w:cs="Times New Roman"/>
                <w:b/>
                <w:sz w:val="16"/>
                <w:szCs w:val="16"/>
              </w:rPr>
              <w:t>VNSmallcap</w:t>
            </w:r>
            <w:proofErr w:type="spellEnd"/>
            <w:r w:rsidRPr="001704E5">
              <w:rPr>
                <w:rFonts w:ascii="Times New Roman" w:hAnsi="Times New Roman" w:cs="Times New Roman"/>
                <w:b/>
                <w:sz w:val="16"/>
                <w:szCs w:val="16"/>
              </w:rPr>
              <w:t xml:space="preserve"> </w:t>
            </w:r>
            <w:r w:rsidRPr="001704E5">
              <w:rPr>
                <w:rFonts w:ascii="Times New Roman" w:hAnsi="Times New Roman" w:cs="Times New Roman"/>
                <w:sz w:val="16"/>
                <w:szCs w:val="16"/>
              </w:rPr>
              <w:t>is a market-capitalization weighted index and designed to measure the performance of small</w:t>
            </w:r>
            <w:r>
              <w:rPr>
                <w:rFonts w:ascii="Times New Roman" w:hAnsi="Times New Roman" w:cs="Times New Roman"/>
                <w:sz w:val="16"/>
                <w:szCs w:val="16"/>
              </w:rPr>
              <w:t xml:space="preserve"> </w:t>
            </w:r>
            <w:r w:rsidRPr="001704E5">
              <w:rPr>
                <w:rFonts w:ascii="Times New Roman" w:hAnsi="Times New Roman" w:cs="Times New Roman"/>
                <w:sz w:val="16"/>
                <w:szCs w:val="16"/>
              </w:rPr>
              <w:t xml:space="preserve">market-capitalization companies </w:t>
            </w:r>
            <w:r>
              <w:rPr>
                <w:rFonts w:ascii="Times New Roman" w:hAnsi="Times New Roman" w:cs="Times New Roman"/>
                <w:sz w:val="16"/>
                <w:szCs w:val="16"/>
              </w:rPr>
              <w:t xml:space="preserve">from </w:t>
            </w:r>
            <w:proofErr w:type="spellStart"/>
            <w:r w:rsidRPr="001704E5">
              <w:rPr>
                <w:rFonts w:ascii="Times New Roman" w:hAnsi="Times New Roman" w:cs="Times New Roman"/>
                <w:sz w:val="16"/>
                <w:szCs w:val="16"/>
              </w:rPr>
              <w:t>VNAllshare</w:t>
            </w:r>
            <w:proofErr w:type="spellEnd"/>
            <w:r w:rsidRPr="001704E5">
              <w:rPr>
                <w:rFonts w:ascii="Times New Roman" w:hAnsi="Times New Roman" w:cs="Times New Roman"/>
                <w:sz w:val="16"/>
                <w:szCs w:val="16"/>
              </w:rPr>
              <w:t>.</w:t>
            </w:r>
          </w:p>
        </w:tc>
      </w:tr>
      <w:tr w:rsidR="00474BB6" w:rsidRPr="006D2F55" w:rsidTr="00474BB6">
        <w:trPr>
          <w:trHeight w:hRule="exact" w:val="302"/>
        </w:trPr>
        <w:tc>
          <w:tcPr>
            <w:tcW w:w="5575" w:type="dxa"/>
            <w:gridSpan w:val="2"/>
            <w:shd w:val="clear" w:color="auto" w:fill="0070C0"/>
            <w:vAlign w:val="center"/>
          </w:tcPr>
          <w:p w:rsidR="00474BB6" w:rsidRPr="006D2F55" w:rsidRDefault="00474BB6" w:rsidP="00474BB6">
            <w:pPr>
              <w:tabs>
                <w:tab w:val="center" w:pos="2700"/>
                <w:tab w:val="left" w:pos="4236"/>
              </w:tabs>
              <w:rPr>
                <w:rFonts w:ascii="Times New Roman" w:hAnsi="Times New Roman" w:cs="Times New Roman"/>
              </w:rPr>
            </w:pPr>
            <w:r>
              <w:rPr>
                <w:rFonts w:ascii="Times New Roman" w:hAnsi="Times New Roman" w:cs="Times New Roman"/>
                <w:b/>
                <w:color w:val="FFFFFF" w:themeColor="background1"/>
              </w:rPr>
              <w:t>Index Characteristics</w:t>
            </w:r>
          </w:p>
        </w:tc>
        <w:tc>
          <w:tcPr>
            <w:tcW w:w="250" w:type="dxa"/>
            <w:gridSpan w:val="2"/>
            <w:shd w:val="clear" w:color="auto" w:fill="auto"/>
            <w:vAlign w:val="center"/>
          </w:tcPr>
          <w:p w:rsidR="00474BB6" w:rsidRPr="006D2F55" w:rsidRDefault="00474BB6" w:rsidP="00474BB6">
            <w:pPr>
              <w:jc w:val="center"/>
              <w:rPr>
                <w:rFonts w:ascii="Times New Roman" w:hAnsi="Times New Roman" w:cs="Times New Roman"/>
              </w:rPr>
            </w:pPr>
          </w:p>
        </w:tc>
        <w:tc>
          <w:tcPr>
            <w:tcW w:w="5483" w:type="dxa"/>
            <w:gridSpan w:val="5"/>
            <w:shd w:val="clear" w:color="auto" w:fill="0070C0"/>
            <w:vAlign w:val="center"/>
          </w:tcPr>
          <w:p w:rsidR="00474BB6" w:rsidRPr="006D2F55" w:rsidRDefault="00474BB6" w:rsidP="00474BB6">
            <w:pPr>
              <w:rPr>
                <w:rFonts w:ascii="Times New Roman" w:hAnsi="Times New Roman" w:cs="Times New Roman"/>
                <w:b/>
                <w:color w:val="FFFFFF" w:themeColor="background1"/>
              </w:rPr>
            </w:pPr>
            <w:r>
              <w:rPr>
                <w:rFonts w:ascii="Times New Roman" w:hAnsi="Times New Roman" w:cs="Times New Roman"/>
                <w:b/>
                <w:color w:val="FFFFFF" w:themeColor="background1"/>
              </w:rPr>
              <w:t>Information</w:t>
            </w:r>
          </w:p>
        </w:tc>
      </w:tr>
      <w:tr w:rsidR="00474BB6" w:rsidRPr="006D2F55" w:rsidTr="00474BB6">
        <w:trPr>
          <w:trHeight w:hRule="exact" w:val="2134"/>
        </w:trPr>
        <w:tc>
          <w:tcPr>
            <w:tcW w:w="5825" w:type="dxa"/>
            <w:gridSpan w:val="4"/>
          </w:tcPr>
          <w:tbl>
            <w:tblPr>
              <w:tblStyle w:val="LightList-Accent5"/>
              <w:tblpPr w:leftFromText="180" w:rightFromText="180" w:vertAnchor="page" w:horzAnchor="margin" w:tblpXSpec="center" w:tblpY="1"/>
              <w:tblOverlap w:val="never"/>
              <w:tblW w:w="19820" w:type="dxa"/>
              <w:tblBorders>
                <w:top w:val="single" w:sz="8" w:space="0" w:color="0070C0"/>
                <w:left w:val="none" w:sz="0" w:space="0" w:color="auto"/>
                <w:bottom w:val="single" w:sz="8" w:space="0" w:color="0070C0"/>
                <w:right w:val="none" w:sz="0" w:space="0" w:color="auto"/>
                <w:insideH w:val="single" w:sz="8" w:space="0" w:color="0070C0"/>
              </w:tblBorders>
              <w:tblLayout w:type="fixed"/>
              <w:tblLook w:val="04A0" w:firstRow="1" w:lastRow="0" w:firstColumn="1" w:lastColumn="0" w:noHBand="0" w:noVBand="1"/>
            </w:tblPr>
            <w:tblGrid>
              <w:gridCol w:w="4475"/>
              <w:gridCol w:w="1705"/>
              <w:gridCol w:w="1705"/>
              <w:gridCol w:w="1705"/>
              <w:gridCol w:w="1705"/>
              <w:gridCol w:w="1705"/>
              <w:gridCol w:w="1705"/>
              <w:gridCol w:w="1705"/>
              <w:gridCol w:w="1705"/>
              <w:gridCol w:w="1705"/>
            </w:tblGrid>
            <w:tr w:rsidR="00093CB9" w:rsidRPr="00301A9C" w:rsidTr="008D73B0">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1739ED" w:rsidRDefault="00093CB9" w:rsidP="00093CB9">
                  <w:pPr>
                    <w:rPr>
                      <w:rFonts w:ascii="Times New Roman" w:eastAsia="Times New Roman" w:hAnsi="Times New Roman" w:cs="Times New Roman"/>
                      <w:color w:val="auto"/>
                      <w:sz w:val="16"/>
                      <w:szCs w:val="16"/>
                    </w:rPr>
                  </w:pPr>
                  <w:r w:rsidRPr="001739ED">
                    <w:rPr>
                      <w:rFonts w:ascii="Times New Roman" w:eastAsia="Times New Roman" w:hAnsi="Times New Roman" w:cs="Times New Roman"/>
                      <w:color w:val="auto"/>
                      <w:sz w:val="16"/>
                      <w:szCs w:val="16"/>
                    </w:rPr>
                    <w:t>Number of Constituents</w:t>
                  </w:r>
                </w:p>
              </w:tc>
              <w:tc>
                <w:tcPr>
                  <w:tcW w:w="1705" w:type="dxa"/>
                  <w:vAlign w:val="bottom"/>
                </w:tcPr>
                <w:p w:rsidR="00093CB9" w:rsidRPr="00C44ECA"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149</w:t>
                  </w:r>
                </w:p>
              </w:tc>
              <w:tc>
                <w:tcPr>
                  <w:tcW w:w="1705" w:type="dxa"/>
                  <w:vAlign w:val="bottom"/>
                </w:tcPr>
                <w:p w:rsidR="00093CB9" w:rsidRPr="00AD3351"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D3351">
                    <w:rPr>
                      <w:rFonts w:ascii="Times New Roman" w:hAnsi="Times New Roman" w:cs="Times New Roman"/>
                      <w:color w:val="000000"/>
                      <w:sz w:val="16"/>
                      <w:szCs w:val="16"/>
                    </w:rPr>
                    <w:t>152</w:t>
                  </w:r>
                </w:p>
              </w:tc>
              <w:tc>
                <w:tcPr>
                  <w:tcW w:w="1705" w:type="dxa"/>
                  <w:shd w:val="clear" w:color="auto" w:fill="auto"/>
                </w:tcPr>
                <w:p w:rsidR="00093CB9"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152</w:t>
                  </w:r>
                </w:p>
              </w:tc>
              <w:tc>
                <w:tcPr>
                  <w:tcW w:w="1705" w:type="dxa"/>
                  <w:shd w:val="clear" w:color="auto" w:fill="auto"/>
                </w:tcPr>
                <w:p w:rsidR="00093CB9"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143</w:t>
                  </w:r>
                </w:p>
              </w:tc>
              <w:tc>
                <w:tcPr>
                  <w:tcW w:w="1705" w:type="dxa"/>
                  <w:shd w:val="clear" w:color="auto" w:fill="auto"/>
                </w:tcPr>
                <w:p w:rsidR="00093CB9"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128</w:t>
                  </w:r>
                </w:p>
              </w:tc>
              <w:tc>
                <w:tcPr>
                  <w:tcW w:w="1705" w:type="dxa"/>
                  <w:shd w:val="clear" w:color="auto" w:fill="auto"/>
                  <w:vAlign w:val="center"/>
                </w:tcPr>
                <w:p w:rsidR="00093CB9" w:rsidRPr="00633BA0"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633BA0">
                    <w:rPr>
                      <w:rFonts w:ascii="Times New Roman" w:hAnsi="Times New Roman" w:cs="Times New Roman"/>
                      <w:b w:val="0"/>
                      <w:color w:val="000000"/>
                      <w:sz w:val="16"/>
                      <w:szCs w:val="16"/>
                    </w:rPr>
                    <w:t>122</w:t>
                  </w:r>
                </w:p>
              </w:tc>
              <w:tc>
                <w:tcPr>
                  <w:tcW w:w="1705" w:type="dxa"/>
                  <w:shd w:val="clear" w:color="auto" w:fill="auto"/>
                  <w:vAlign w:val="center"/>
                </w:tcPr>
                <w:p w:rsidR="00093CB9" w:rsidRPr="0019390C"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19390C">
                    <w:rPr>
                      <w:rFonts w:ascii="Times New Roman" w:hAnsi="Times New Roman" w:cs="Times New Roman"/>
                      <w:b w:val="0"/>
                      <w:color w:val="000000"/>
                      <w:sz w:val="16"/>
                      <w:szCs w:val="16"/>
                    </w:rPr>
                    <w:t>123</w:t>
                  </w:r>
                </w:p>
              </w:tc>
              <w:tc>
                <w:tcPr>
                  <w:tcW w:w="1705" w:type="dxa"/>
                  <w:shd w:val="clear" w:color="auto" w:fill="auto"/>
                  <w:vAlign w:val="center"/>
                </w:tcPr>
                <w:p w:rsidR="00093CB9" w:rsidRPr="006F1615"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6F1615">
                    <w:rPr>
                      <w:rFonts w:ascii="Times New Roman" w:hAnsi="Times New Roman" w:cs="Times New Roman"/>
                      <w:b w:val="0"/>
                      <w:color w:val="000000"/>
                      <w:sz w:val="16"/>
                      <w:szCs w:val="16"/>
                    </w:rPr>
                    <w:t>142</w:t>
                  </w:r>
                </w:p>
              </w:tc>
              <w:tc>
                <w:tcPr>
                  <w:tcW w:w="1705" w:type="dxa"/>
                  <w:shd w:val="clear" w:color="auto" w:fill="auto"/>
                  <w:vAlign w:val="center"/>
                </w:tcPr>
                <w:p w:rsidR="00093CB9" w:rsidRPr="00D51202" w:rsidRDefault="00093CB9" w:rsidP="00093C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6"/>
                      <w:szCs w:val="16"/>
                    </w:rPr>
                  </w:pPr>
                  <w:r w:rsidRPr="00D51202">
                    <w:rPr>
                      <w:rFonts w:ascii="Times New Roman" w:hAnsi="Times New Roman" w:cs="Times New Roman"/>
                      <w:b w:val="0"/>
                      <w:color w:val="000000"/>
                      <w:sz w:val="16"/>
                      <w:szCs w:val="16"/>
                    </w:rPr>
                    <w:t>142</w:t>
                  </w:r>
                </w:p>
              </w:tc>
            </w:tr>
            <w:tr w:rsidR="00093CB9" w:rsidRPr="00301A9C" w:rsidTr="008D73B0">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F26A05" w:rsidRDefault="00093CB9" w:rsidP="00093CB9">
                  <w:pPr>
                    <w:rPr>
                      <w:rFonts w:ascii="Times New Roman" w:eastAsia="Times New Roman" w:hAnsi="Times New Roman" w:cs="Times New Roman"/>
                      <w:b w:val="0"/>
                      <w:sz w:val="16"/>
                      <w:szCs w:val="16"/>
                    </w:rPr>
                  </w:pPr>
                  <w:r w:rsidRPr="00F26A05">
                    <w:rPr>
                      <w:rFonts w:ascii="Times New Roman" w:eastAsia="Times New Roman" w:hAnsi="Times New Roman" w:cs="Times New Roman"/>
                      <w:sz w:val="16"/>
                      <w:szCs w:val="16"/>
                    </w:rPr>
                    <w:t xml:space="preserve">Full Market-Capitalization </w:t>
                  </w:r>
                  <w:r w:rsidRPr="006235F1">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Billion </w:t>
                  </w:r>
                  <w:r w:rsidRPr="006235F1">
                    <w:rPr>
                      <w:rFonts w:ascii="Times New Roman" w:eastAsia="Times New Roman" w:hAnsi="Times New Roman" w:cs="Times New Roman"/>
                      <w:sz w:val="16"/>
                      <w:szCs w:val="16"/>
                    </w:rPr>
                    <w:t>VND)</w:t>
                  </w:r>
                </w:p>
              </w:tc>
              <w:tc>
                <w:tcPr>
                  <w:tcW w:w="1705" w:type="dxa"/>
                  <w:vAlign w:val="bottom"/>
                </w:tcPr>
                <w:p w:rsidR="00093CB9" w:rsidRPr="00C44EC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90,066</w:t>
                  </w:r>
                </w:p>
              </w:tc>
              <w:tc>
                <w:tcPr>
                  <w:tcW w:w="1705" w:type="dxa"/>
                  <w:vAlign w:val="bottom"/>
                </w:tcPr>
                <w:p w:rsidR="00093CB9" w:rsidRPr="0011453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93,290</w:t>
                  </w:r>
                </w:p>
              </w:tc>
              <w:tc>
                <w:tcPr>
                  <w:tcW w:w="1705" w:type="dxa"/>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87,895</w:t>
                  </w:r>
                </w:p>
              </w:tc>
              <w:tc>
                <w:tcPr>
                  <w:tcW w:w="1705" w:type="dxa"/>
                  <w:shd w:val="clear" w:color="auto" w:fill="auto"/>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77,677</w:t>
                  </w:r>
                </w:p>
              </w:tc>
              <w:tc>
                <w:tcPr>
                  <w:tcW w:w="1705" w:type="dxa"/>
                  <w:shd w:val="clear" w:color="auto" w:fill="auto"/>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61,472</w:t>
                  </w:r>
                </w:p>
              </w:tc>
              <w:tc>
                <w:tcPr>
                  <w:tcW w:w="1705" w:type="dxa"/>
                  <w:shd w:val="clear" w:color="auto" w:fill="auto"/>
                  <w:vAlign w:val="center"/>
                </w:tcPr>
                <w:p w:rsidR="00093CB9" w:rsidRPr="00633BA0"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33BA0">
                    <w:rPr>
                      <w:rFonts w:ascii="Times New Roman" w:hAnsi="Times New Roman" w:cs="Times New Roman"/>
                      <w:color w:val="000000"/>
                      <w:sz w:val="16"/>
                      <w:szCs w:val="16"/>
                    </w:rPr>
                    <w:t>60,143</w:t>
                  </w:r>
                </w:p>
              </w:tc>
              <w:tc>
                <w:tcPr>
                  <w:tcW w:w="1705" w:type="dxa"/>
                  <w:shd w:val="clear" w:color="auto" w:fill="auto"/>
                  <w:vAlign w:val="center"/>
                </w:tcPr>
                <w:p w:rsidR="00093CB9" w:rsidRPr="0019390C"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9390C">
                    <w:rPr>
                      <w:rFonts w:ascii="Times New Roman" w:hAnsi="Times New Roman" w:cs="Times New Roman"/>
                      <w:color w:val="000000"/>
                      <w:sz w:val="16"/>
                      <w:szCs w:val="16"/>
                    </w:rPr>
                    <w:t>62,141</w:t>
                  </w:r>
                </w:p>
              </w:tc>
              <w:tc>
                <w:tcPr>
                  <w:tcW w:w="1705" w:type="dxa"/>
                  <w:shd w:val="clear" w:color="auto" w:fill="auto"/>
                  <w:vAlign w:val="center"/>
                </w:tcPr>
                <w:p w:rsidR="00093CB9" w:rsidRPr="006F1615"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69,199</w:t>
                  </w:r>
                </w:p>
              </w:tc>
              <w:tc>
                <w:tcPr>
                  <w:tcW w:w="1705" w:type="dxa"/>
                  <w:shd w:val="clear" w:color="auto" w:fill="auto"/>
                  <w:vAlign w:val="center"/>
                </w:tcPr>
                <w:p w:rsidR="00093CB9" w:rsidRPr="00D51202"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D51202">
                    <w:rPr>
                      <w:rFonts w:ascii="Times New Roman" w:hAnsi="Times New Roman" w:cs="Times New Roman"/>
                      <w:color w:val="000000"/>
                      <w:sz w:val="16"/>
                      <w:szCs w:val="16"/>
                    </w:rPr>
                    <w:t>69,199,458,047</w:t>
                  </w:r>
                </w:p>
              </w:tc>
            </w:tr>
            <w:tr w:rsidR="00093CB9" w:rsidRPr="00301A9C" w:rsidTr="008D73B0">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F26A05" w:rsidRDefault="00093CB9" w:rsidP="00093CB9">
                  <w:pPr>
                    <w:rPr>
                      <w:rFonts w:ascii="Times New Roman" w:eastAsia="Times New Roman" w:hAnsi="Times New Roman" w:cs="Times New Roman"/>
                      <w:sz w:val="16"/>
                      <w:szCs w:val="16"/>
                    </w:rPr>
                  </w:pPr>
                  <w:r>
                    <w:rPr>
                      <w:rFonts w:ascii="Times New Roman" w:eastAsia="Times New Roman" w:hAnsi="Times New Roman" w:cs="Times New Roman"/>
                      <w:sz w:val="16"/>
                      <w:szCs w:val="16"/>
                    </w:rPr>
                    <w:t>Free-</w:t>
                  </w:r>
                  <w:r w:rsidRPr="00F26A05">
                    <w:rPr>
                      <w:rFonts w:ascii="Times New Roman" w:eastAsia="Times New Roman" w:hAnsi="Times New Roman" w:cs="Times New Roman"/>
                      <w:sz w:val="16"/>
                      <w:szCs w:val="16"/>
                    </w:rPr>
                    <w:t xml:space="preserve">float adjusted Market-Capitalization </w:t>
                  </w:r>
                  <w:r w:rsidRPr="006235F1">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Billion </w:t>
                  </w:r>
                  <w:r w:rsidRPr="006235F1">
                    <w:rPr>
                      <w:rFonts w:ascii="Times New Roman" w:eastAsia="Times New Roman" w:hAnsi="Times New Roman" w:cs="Times New Roman"/>
                      <w:sz w:val="16"/>
                      <w:szCs w:val="16"/>
                    </w:rPr>
                    <w:t>VND)</w:t>
                  </w:r>
                </w:p>
              </w:tc>
              <w:tc>
                <w:tcPr>
                  <w:tcW w:w="1705" w:type="dxa"/>
                  <w:vAlign w:val="bottom"/>
                </w:tcPr>
                <w:p w:rsidR="00093CB9" w:rsidRPr="00C44EC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44,754</w:t>
                  </w:r>
                </w:p>
              </w:tc>
              <w:tc>
                <w:tcPr>
                  <w:tcW w:w="1705" w:type="dxa"/>
                  <w:vAlign w:val="bottom"/>
                </w:tcPr>
                <w:p w:rsidR="00093CB9" w:rsidRPr="0011453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46,383</w:t>
                  </w:r>
                </w:p>
              </w:tc>
              <w:tc>
                <w:tcPr>
                  <w:tcW w:w="1705" w:type="dxa"/>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43,860</w:t>
                  </w:r>
                </w:p>
              </w:tc>
              <w:tc>
                <w:tcPr>
                  <w:tcW w:w="1705" w:type="dxa"/>
                  <w:shd w:val="clear" w:color="auto" w:fill="auto"/>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36,873</w:t>
                  </w:r>
                </w:p>
              </w:tc>
              <w:tc>
                <w:tcPr>
                  <w:tcW w:w="1705" w:type="dxa"/>
                  <w:shd w:val="clear" w:color="auto" w:fill="auto"/>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31,052</w:t>
                  </w:r>
                </w:p>
              </w:tc>
              <w:tc>
                <w:tcPr>
                  <w:tcW w:w="1705" w:type="dxa"/>
                  <w:shd w:val="clear" w:color="auto" w:fill="auto"/>
                  <w:vAlign w:val="center"/>
                </w:tcPr>
                <w:p w:rsidR="00093CB9" w:rsidRPr="00633BA0"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33BA0">
                    <w:rPr>
                      <w:rFonts w:ascii="Times New Roman" w:hAnsi="Times New Roman" w:cs="Times New Roman"/>
                      <w:color w:val="000000"/>
                      <w:sz w:val="16"/>
                      <w:szCs w:val="16"/>
                    </w:rPr>
                    <w:t>31,198</w:t>
                  </w:r>
                </w:p>
              </w:tc>
              <w:tc>
                <w:tcPr>
                  <w:tcW w:w="1705" w:type="dxa"/>
                  <w:shd w:val="clear" w:color="auto" w:fill="auto"/>
                  <w:vAlign w:val="center"/>
                </w:tcPr>
                <w:p w:rsidR="00093CB9" w:rsidRPr="0019390C"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9390C">
                    <w:rPr>
                      <w:rFonts w:ascii="Times New Roman" w:hAnsi="Times New Roman" w:cs="Times New Roman"/>
                      <w:color w:val="000000"/>
                      <w:sz w:val="16"/>
                      <w:szCs w:val="16"/>
                    </w:rPr>
                    <w:t>32,674</w:t>
                  </w:r>
                </w:p>
              </w:tc>
              <w:tc>
                <w:tcPr>
                  <w:tcW w:w="1705" w:type="dxa"/>
                  <w:shd w:val="clear" w:color="auto" w:fill="auto"/>
                  <w:vAlign w:val="center"/>
                </w:tcPr>
                <w:p w:rsidR="00093CB9" w:rsidRPr="006F1615"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35,332</w:t>
                  </w:r>
                </w:p>
              </w:tc>
              <w:tc>
                <w:tcPr>
                  <w:tcW w:w="1705" w:type="dxa"/>
                  <w:shd w:val="clear" w:color="auto" w:fill="auto"/>
                  <w:vAlign w:val="center"/>
                </w:tcPr>
                <w:p w:rsidR="00093CB9" w:rsidRPr="00D51202"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D51202">
                    <w:rPr>
                      <w:rFonts w:ascii="Times New Roman" w:hAnsi="Times New Roman" w:cs="Times New Roman"/>
                      <w:color w:val="000000"/>
                      <w:sz w:val="16"/>
                      <w:szCs w:val="16"/>
                    </w:rPr>
                    <w:t>35,331,539,078</w:t>
                  </w:r>
                </w:p>
              </w:tc>
            </w:tr>
            <w:tr w:rsidR="00093CB9" w:rsidRPr="00301A9C" w:rsidTr="008D73B0">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1739ED" w:rsidRDefault="00093CB9" w:rsidP="00093CB9">
                  <w:pPr>
                    <w:jc w:val="center"/>
                    <w:rPr>
                      <w:rFonts w:ascii="Times New Roman" w:eastAsia="Times New Roman" w:hAnsi="Times New Roman" w:cs="Times New Roman"/>
                      <w:b w:val="0"/>
                      <w:sz w:val="16"/>
                      <w:szCs w:val="16"/>
                    </w:rPr>
                  </w:pPr>
                  <w:r w:rsidRPr="001739ED">
                    <w:rPr>
                      <w:rFonts w:ascii="Times New Roman" w:eastAsia="Times New Roman" w:hAnsi="Times New Roman" w:cs="Times New Roman"/>
                      <w:sz w:val="16"/>
                      <w:szCs w:val="16"/>
                    </w:rPr>
                    <w:t>Average</w:t>
                  </w:r>
                </w:p>
              </w:tc>
              <w:tc>
                <w:tcPr>
                  <w:tcW w:w="1705" w:type="dxa"/>
                  <w:vAlign w:val="bottom"/>
                </w:tcPr>
                <w:p w:rsidR="00093CB9" w:rsidRPr="00C44EC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300</w:t>
                  </w:r>
                </w:p>
              </w:tc>
              <w:tc>
                <w:tcPr>
                  <w:tcW w:w="1705" w:type="dxa"/>
                  <w:vAlign w:val="bottom"/>
                </w:tcPr>
                <w:p w:rsidR="00093CB9" w:rsidRPr="0011453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305</w:t>
                  </w:r>
                </w:p>
              </w:tc>
              <w:tc>
                <w:tcPr>
                  <w:tcW w:w="1705" w:type="dxa"/>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289</w:t>
                  </w:r>
                </w:p>
              </w:tc>
              <w:tc>
                <w:tcPr>
                  <w:tcW w:w="1705" w:type="dxa"/>
                  <w:shd w:val="clear" w:color="auto" w:fill="auto"/>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258</w:t>
                  </w:r>
                </w:p>
              </w:tc>
              <w:tc>
                <w:tcPr>
                  <w:tcW w:w="1705" w:type="dxa"/>
                  <w:shd w:val="clear" w:color="auto" w:fill="auto"/>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243</w:t>
                  </w:r>
                </w:p>
              </w:tc>
              <w:tc>
                <w:tcPr>
                  <w:tcW w:w="1705" w:type="dxa"/>
                  <w:shd w:val="clear" w:color="auto" w:fill="auto"/>
                  <w:vAlign w:val="center"/>
                </w:tcPr>
                <w:p w:rsidR="00093CB9" w:rsidRPr="00633BA0"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33BA0">
                    <w:rPr>
                      <w:rFonts w:ascii="Times New Roman" w:hAnsi="Times New Roman" w:cs="Times New Roman"/>
                      <w:color w:val="000000"/>
                      <w:sz w:val="16"/>
                      <w:szCs w:val="16"/>
                    </w:rPr>
                    <w:t>256</w:t>
                  </w:r>
                </w:p>
              </w:tc>
              <w:tc>
                <w:tcPr>
                  <w:tcW w:w="1705" w:type="dxa"/>
                  <w:shd w:val="clear" w:color="auto" w:fill="auto"/>
                  <w:vAlign w:val="center"/>
                </w:tcPr>
                <w:p w:rsidR="00093CB9" w:rsidRPr="0019390C"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9390C">
                    <w:rPr>
                      <w:rFonts w:ascii="Times New Roman" w:hAnsi="Times New Roman" w:cs="Times New Roman"/>
                      <w:color w:val="000000"/>
                      <w:sz w:val="16"/>
                      <w:szCs w:val="16"/>
                    </w:rPr>
                    <w:t>266</w:t>
                  </w:r>
                </w:p>
              </w:tc>
              <w:tc>
                <w:tcPr>
                  <w:tcW w:w="1705" w:type="dxa"/>
                  <w:shd w:val="clear" w:color="auto" w:fill="auto"/>
                  <w:vAlign w:val="center"/>
                </w:tcPr>
                <w:p w:rsidR="00093CB9" w:rsidRPr="006F1615"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249</w:t>
                  </w:r>
                </w:p>
              </w:tc>
              <w:tc>
                <w:tcPr>
                  <w:tcW w:w="1705" w:type="dxa"/>
                  <w:shd w:val="clear" w:color="auto" w:fill="auto"/>
                  <w:vAlign w:val="center"/>
                </w:tcPr>
                <w:p w:rsidR="00093CB9" w:rsidRPr="00D51202"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D51202">
                    <w:rPr>
                      <w:rFonts w:ascii="Times New Roman" w:hAnsi="Times New Roman" w:cs="Times New Roman"/>
                      <w:color w:val="000000"/>
                      <w:sz w:val="16"/>
                      <w:szCs w:val="16"/>
                    </w:rPr>
                    <w:t>248,813,655</w:t>
                  </w:r>
                </w:p>
              </w:tc>
            </w:tr>
            <w:tr w:rsidR="00093CB9" w:rsidRPr="00301A9C" w:rsidTr="008D73B0">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1739ED" w:rsidRDefault="00093CB9" w:rsidP="00093CB9">
                  <w:pPr>
                    <w:jc w:val="center"/>
                    <w:rPr>
                      <w:rFonts w:ascii="Times New Roman" w:eastAsia="Times New Roman" w:hAnsi="Times New Roman" w:cs="Times New Roman"/>
                      <w:b w:val="0"/>
                      <w:sz w:val="16"/>
                      <w:szCs w:val="16"/>
                    </w:rPr>
                  </w:pPr>
                  <w:r w:rsidRPr="001739ED">
                    <w:rPr>
                      <w:rFonts w:ascii="Times New Roman" w:eastAsia="Times New Roman" w:hAnsi="Times New Roman" w:cs="Times New Roman"/>
                      <w:sz w:val="16"/>
                      <w:szCs w:val="16"/>
                    </w:rPr>
                    <w:t>Max</w:t>
                  </w:r>
                </w:p>
              </w:tc>
              <w:tc>
                <w:tcPr>
                  <w:tcW w:w="1705" w:type="dxa"/>
                  <w:vAlign w:val="bottom"/>
                </w:tcPr>
                <w:p w:rsidR="00093CB9" w:rsidRPr="00C44EC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1,835</w:t>
                  </w:r>
                </w:p>
              </w:tc>
              <w:tc>
                <w:tcPr>
                  <w:tcW w:w="1705" w:type="dxa"/>
                  <w:vAlign w:val="bottom"/>
                </w:tcPr>
                <w:p w:rsidR="00093CB9" w:rsidRPr="0011453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1,802</w:t>
                  </w:r>
                </w:p>
              </w:tc>
              <w:tc>
                <w:tcPr>
                  <w:tcW w:w="1705" w:type="dxa"/>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1,739</w:t>
                  </w:r>
                </w:p>
              </w:tc>
              <w:tc>
                <w:tcPr>
                  <w:tcW w:w="1705" w:type="dxa"/>
                  <w:shd w:val="clear" w:color="auto" w:fill="auto"/>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1,148</w:t>
                  </w:r>
                </w:p>
              </w:tc>
              <w:tc>
                <w:tcPr>
                  <w:tcW w:w="1705" w:type="dxa"/>
                  <w:shd w:val="clear" w:color="auto" w:fill="auto"/>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891</w:t>
                  </w:r>
                </w:p>
              </w:tc>
              <w:tc>
                <w:tcPr>
                  <w:tcW w:w="1705" w:type="dxa"/>
                  <w:shd w:val="clear" w:color="auto" w:fill="auto"/>
                  <w:vAlign w:val="center"/>
                </w:tcPr>
                <w:p w:rsidR="00093CB9" w:rsidRPr="00633BA0"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33BA0">
                    <w:rPr>
                      <w:rFonts w:ascii="Times New Roman" w:hAnsi="Times New Roman" w:cs="Times New Roman"/>
                      <w:color w:val="000000"/>
                      <w:sz w:val="16"/>
                      <w:szCs w:val="16"/>
                    </w:rPr>
                    <w:t>1,293</w:t>
                  </w:r>
                </w:p>
              </w:tc>
              <w:tc>
                <w:tcPr>
                  <w:tcW w:w="1705" w:type="dxa"/>
                  <w:shd w:val="clear" w:color="auto" w:fill="auto"/>
                  <w:vAlign w:val="center"/>
                </w:tcPr>
                <w:p w:rsidR="00093CB9" w:rsidRPr="0019390C"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9390C">
                    <w:rPr>
                      <w:rFonts w:ascii="Times New Roman" w:hAnsi="Times New Roman" w:cs="Times New Roman"/>
                      <w:color w:val="000000"/>
                      <w:sz w:val="16"/>
                      <w:szCs w:val="16"/>
                    </w:rPr>
                    <w:t>1,512</w:t>
                  </w:r>
                </w:p>
              </w:tc>
              <w:tc>
                <w:tcPr>
                  <w:tcW w:w="1705" w:type="dxa"/>
                  <w:shd w:val="clear" w:color="auto" w:fill="auto"/>
                  <w:vAlign w:val="center"/>
                </w:tcPr>
                <w:p w:rsidR="00093CB9" w:rsidRPr="006F1615"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1,415</w:t>
                  </w:r>
                </w:p>
              </w:tc>
              <w:tc>
                <w:tcPr>
                  <w:tcW w:w="1705" w:type="dxa"/>
                  <w:shd w:val="clear" w:color="auto" w:fill="auto"/>
                  <w:vAlign w:val="center"/>
                </w:tcPr>
                <w:p w:rsidR="00093CB9" w:rsidRPr="00D51202"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D51202">
                    <w:rPr>
                      <w:rFonts w:ascii="Times New Roman" w:hAnsi="Times New Roman" w:cs="Times New Roman"/>
                      <w:color w:val="000000"/>
                      <w:sz w:val="16"/>
                      <w:szCs w:val="16"/>
                    </w:rPr>
                    <w:t>1,414,862,094</w:t>
                  </w:r>
                </w:p>
              </w:tc>
            </w:tr>
            <w:tr w:rsidR="00093CB9" w:rsidRPr="00301A9C" w:rsidTr="008D73B0">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1739ED" w:rsidRDefault="00093CB9" w:rsidP="00093CB9">
                  <w:pPr>
                    <w:jc w:val="center"/>
                    <w:rPr>
                      <w:rFonts w:ascii="Times New Roman" w:eastAsia="Times New Roman" w:hAnsi="Times New Roman" w:cs="Times New Roman"/>
                      <w:b w:val="0"/>
                      <w:sz w:val="16"/>
                      <w:szCs w:val="16"/>
                    </w:rPr>
                  </w:pPr>
                  <w:r w:rsidRPr="001739ED">
                    <w:rPr>
                      <w:rFonts w:ascii="Times New Roman" w:eastAsia="Times New Roman" w:hAnsi="Times New Roman" w:cs="Times New Roman"/>
                      <w:sz w:val="16"/>
                      <w:szCs w:val="16"/>
                    </w:rPr>
                    <w:t>Min</w:t>
                  </w:r>
                </w:p>
              </w:tc>
              <w:tc>
                <w:tcPr>
                  <w:tcW w:w="1705" w:type="dxa"/>
                  <w:vAlign w:val="bottom"/>
                </w:tcPr>
                <w:p w:rsidR="00093CB9" w:rsidRPr="00C44EC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15</w:t>
                  </w:r>
                </w:p>
              </w:tc>
              <w:tc>
                <w:tcPr>
                  <w:tcW w:w="1705" w:type="dxa"/>
                  <w:vAlign w:val="bottom"/>
                </w:tcPr>
                <w:p w:rsidR="00093CB9" w:rsidRPr="0011453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19</w:t>
                  </w:r>
                </w:p>
              </w:tc>
              <w:tc>
                <w:tcPr>
                  <w:tcW w:w="1705" w:type="dxa"/>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1705" w:type="dxa"/>
                  <w:shd w:val="clear" w:color="auto" w:fill="auto"/>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25</w:t>
                  </w:r>
                </w:p>
              </w:tc>
              <w:tc>
                <w:tcPr>
                  <w:tcW w:w="1705" w:type="dxa"/>
                  <w:shd w:val="clear" w:color="auto" w:fill="auto"/>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1705" w:type="dxa"/>
                  <w:shd w:val="clear" w:color="auto" w:fill="auto"/>
                  <w:vAlign w:val="center"/>
                </w:tcPr>
                <w:p w:rsidR="00093CB9" w:rsidRPr="00633BA0"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33BA0">
                    <w:rPr>
                      <w:rFonts w:ascii="Times New Roman" w:hAnsi="Times New Roman" w:cs="Times New Roman"/>
                      <w:color w:val="000000"/>
                      <w:sz w:val="16"/>
                      <w:szCs w:val="16"/>
                    </w:rPr>
                    <w:t>18</w:t>
                  </w:r>
                </w:p>
              </w:tc>
              <w:tc>
                <w:tcPr>
                  <w:tcW w:w="1705" w:type="dxa"/>
                  <w:shd w:val="clear" w:color="auto" w:fill="auto"/>
                  <w:vAlign w:val="center"/>
                </w:tcPr>
                <w:p w:rsidR="00093CB9" w:rsidRPr="0019390C"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9390C">
                    <w:rPr>
                      <w:rFonts w:ascii="Times New Roman" w:hAnsi="Times New Roman" w:cs="Times New Roman"/>
                      <w:color w:val="000000"/>
                      <w:sz w:val="16"/>
                      <w:szCs w:val="16"/>
                    </w:rPr>
                    <w:t>21</w:t>
                  </w:r>
                </w:p>
              </w:tc>
              <w:tc>
                <w:tcPr>
                  <w:tcW w:w="1705" w:type="dxa"/>
                  <w:shd w:val="clear" w:color="auto" w:fill="auto"/>
                  <w:vAlign w:val="center"/>
                </w:tcPr>
                <w:p w:rsidR="00093CB9" w:rsidRPr="006F1615"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16</w:t>
                  </w:r>
                </w:p>
              </w:tc>
              <w:tc>
                <w:tcPr>
                  <w:tcW w:w="1705" w:type="dxa"/>
                  <w:shd w:val="clear" w:color="auto" w:fill="auto"/>
                  <w:vAlign w:val="center"/>
                </w:tcPr>
                <w:p w:rsidR="00093CB9" w:rsidRPr="00D51202"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D51202">
                    <w:rPr>
                      <w:rFonts w:ascii="Times New Roman" w:hAnsi="Times New Roman" w:cs="Times New Roman"/>
                      <w:color w:val="000000"/>
                      <w:sz w:val="16"/>
                      <w:szCs w:val="16"/>
                    </w:rPr>
                    <w:t>15,592,500</w:t>
                  </w:r>
                </w:p>
              </w:tc>
            </w:tr>
            <w:tr w:rsidR="00093CB9" w:rsidRPr="00301A9C" w:rsidTr="008D73B0">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1739ED" w:rsidRDefault="00093CB9" w:rsidP="00093CB9">
                  <w:pPr>
                    <w:jc w:val="center"/>
                    <w:rPr>
                      <w:rFonts w:ascii="Times New Roman" w:eastAsia="Times New Roman" w:hAnsi="Times New Roman" w:cs="Times New Roman"/>
                      <w:b w:val="0"/>
                      <w:sz w:val="16"/>
                      <w:szCs w:val="16"/>
                    </w:rPr>
                  </w:pPr>
                  <w:r w:rsidRPr="001739ED">
                    <w:rPr>
                      <w:rFonts w:ascii="Times New Roman" w:eastAsia="Times New Roman" w:hAnsi="Times New Roman" w:cs="Times New Roman"/>
                      <w:sz w:val="16"/>
                      <w:szCs w:val="16"/>
                    </w:rPr>
                    <w:t>Median</w:t>
                  </w:r>
                </w:p>
              </w:tc>
              <w:tc>
                <w:tcPr>
                  <w:tcW w:w="1705" w:type="dxa"/>
                  <w:vAlign w:val="bottom"/>
                </w:tcPr>
                <w:p w:rsidR="00093CB9" w:rsidRPr="00C44EC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233</w:t>
                  </w:r>
                </w:p>
              </w:tc>
              <w:tc>
                <w:tcPr>
                  <w:tcW w:w="1705" w:type="dxa"/>
                  <w:vAlign w:val="bottom"/>
                </w:tcPr>
                <w:p w:rsidR="00093CB9" w:rsidRPr="0011453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247</w:t>
                  </w:r>
                </w:p>
              </w:tc>
              <w:tc>
                <w:tcPr>
                  <w:tcW w:w="1705" w:type="dxa"/>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219</w:t>
                  </w:r>
                </w:p>
              </w:tc>
              <w:tc>
                <w:tcPr>
                  <w:tcW w:w="1705" w:type="dxa"/>
                  <w:shd w:val="clear" w:color="auto" w:fill="auto"/>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165</w:t>
                  </w:r>
                </w:p>
              </w:tc>
              <w:tc>
                <w:tcPr>
                  <w:tcW w:w="1705" w:type="dxa"/>
                  <w:shd w:val="clear" w:color="auto" w:fill="auto"/>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189</w:t>
                  </w:r>
                </w:p>
              </w:tc>
              <w:tc>
                <w:tcPr>
                  <w:tcW w:w="1705" w:type="dxa"/>
                  <w:shd w:val="clear" w:color="auto" w:fill="auto"/>
                  <w:vAlign w:val="center"/>
                </w:tcPr>
                <w:p w:rsidR="00093CB9" w:rsidRPr="00633BA0"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33BA0">
                    <w:rPr>
                      <w:rFonts w:ascii="Times New Roman" w:hAnsi="Times New Roman" w:cs="Times New Roman"/>
                      <w:color w:val="000000"/>
                      <w:sz w:val="16"/>
                      <w:szCs w:val="16"/>
                    </w:rPr>
                    <w:t>190</w:t>
                  </w:r>
                </w:p>
              </w:tc>
              <w:tc>
                <w:tcPr>
                  <w:tcW w:w="1705" w:type="dxa"/>
                  <w:shd w:val="clear" w:color="auto" w:fill="auto"/>
                  <w:vAlign w:val="center"/>
                </w:tcPr>
                <w:p w:rsidR="00093CB9" w:rsidRPr="0019390C"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9390C">
                    <w:rPr>
                      <w:rFonts w:ascii="Times New Roman" w:hAnsi="Times New Roman" w:cs="Times New Roman"/>
                      <w:color w:val="000000"/>
                      <w:sz w:val="16"/>
                      <w:szCs w:val="16"/>
                    </w:rPr>
                    <w:t>198</w:t>
                  </w:r>
                </w:p>
              </w:tc>
              <w:tc>
                <w:tcPr>
                  <w:tcW w:w="1705" w:type="dxa"/>
                  <w:shd w:val="clear" w:color="auto" w:fill="auto"/>
                  <w:vAlign w:val="center"/>
                </w:tcPr>
                <w:p w:rsidR="00093CB9" w:rsidRPr="006F1615"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166</w:t>
                  </w:r>
                </w:p>
              </w:tc>
              <w:tc>
                <w:tcPr>
                  <w:tcW w:w="1705" w:type="dxa"/>
                  <w:shd w:val="clear" w:color="auto" w:fill="auto"/>
                  <w:vAlign w:val="center"/>
                </w:tcPr>
                <w:p w:rsidR="00093CB9" w:rsidRPr="00D51202"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D51202">
                    <w:rPr>
                      <w:rFonts w:ascii="Times New Roman" w:hAnsi="Times New Roman" w:cs="Times New Roman"/>
                      <w:color w:val="000000"/>
                      <w:sz w:val="16"/>
                      <w:szCs w:val="16"/>
                    </w:rPr>
                    <w:t>166,309,110</w:t>
                  </w:r>
                </w:p>
              </w:tc>
            </w:tr>
            <w:tr w:rsidR="00093CB9" w:rsidRPr="00301A9C" w:rsidTr="008D73B0">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1739ED" w:rsidRDefault="00093CB9" w:rsidP="00093CB9">
                  <w:pPr>
                    <w:rPr>
                      <w:rFonts w:ascii="Times New Roman" w:eastAsia="Times New Roman" w:hAnsi="Times New Roman" w:cs="Times New Roman"/>
                      <w:b w:val="0"/>
                      <w:sz w:val="16"/>
                      <w:szCs w:val="16"/>
                    </w:rPr>
                  </w:pPr>
                  <w:r w:rsidRPr="001739ED">
                    <w:rPr>
                      <w:rFonts w:ascii="Times New Roman" w:eastAsia="Times New Roman" w:hAnsi="Times New Roman" w:cs="Times New Roman"/>
                      <w:sz w:val="16"/>
                      <w:szCs w:val="16"/>
                    </w:rPr>
                    <w:t>Weighted capitalization of largest company</w:t>
                  </w:r>
                </w:p>
              </w:tc>
              <w:tc>
                <w:tcPr>
                  <w:tcW w:w="1705" w:type="dxa"/>
                  <w:vAlign w:val="bottom"/>
                </w:tcPr>
                <w:p w:rsidR="00093CB9" w:rsidRPr="00C44EC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4.10%</w:t>
                  </w:r>
                </w:p>
              </w:tc>
              <w:tc>
                <w:tcPr>
                  <w:tcW w:w="1705" w:type="dxa"/>
                  <w:vAlign w:val="bottom"/>
                </w:tcPr>
                <w:p w:rsidR="00093CB9" w:rsidRPr="0011453A"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3.88%</w:t>
                  </w:r>
                </w:p>
              </w:tc>
              <w:tc>
                <w:tcPr>
                  <w:tcW w:w="1705" w:type="dxa"/>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3.96%</w:t>
                  </w:r>
                </w:p>
              </w:tc>
              <w:tc>
                <w:tcPr>
                  <w:tcW w:w="1705" w:type="dxa"/>
                  <w:shd w:val="clear" w:color="auto" w:fill="auto"/>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3.11%</w:t>
                  </w:r>
                </w:p>
              </w:tc>
              <w:tc>
                <w:tcPr>
                  <w:tcW w:w="1705" w:type="dxa"/>
                  <w:shd w:val="clear" w:color="auto" w:fill="auto"/>
                </w:tcPr>
                <w:p w:rsidR="00093CB9"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2.87%</w:t>
                  </w:r>
                </w:p>
              </w:tc>
              <w:tc>
                <w:tcPr>
                  <w:tcW w:w="1705" w:type="dxa"/>
                  <w:shd w:val="clear" w:color="auto" w:fill="auto"/>
                  <w:vAlign w:val="center"/>
                </w:tcPr>
                <w:p w:rsidR="00093CB9" w:rsidRPr="00633BA0"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33BA0">
                    <w:rPr>
                      <w:rFonts w:ascii="Times New Roman" w:hAnsi="Times New Roman" w:cs="Times New Roman"/>
                      <w:color w:val="000000"/>
                      <w:sz w:val="16"/>
                      <w:szCs w:val="16"/>
                    </w:rPr>
                    <w:t>4.14%</w:t>
                  </w:r>
                </w:p>
              </w:tc>
              <w:tc>
                <w:tcPr>
                  <w:tcW w:w="1705" w:type="dxa"/>
                  <w:shd w:val="clear" w:color="auto" w:fill="auto"/>
                  <w:vAlign w:val="center"/>
                </w:tcPr>
                <w:p w:rsidR="00093CB9" w:rsidRPr="0019390C"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9390C">
                    <w:rPr>
                      <w:rFonts w:ascii="Times New Roman" w:hAnsi="Times New Roman" w:cs="Times New Roman"/>
                      <w:color w:val="000000"/>
                      <w:sz w:val="16"/>
                      <w:szCs w:val="16"/>
                    </w:rPr>
                    <w:t>4.63%</w:t>
                  </w:r>
                </w:p>
              </w:tc>
              <w:tc>
                <w:tcPr>
                  <w:tcW w:w="1705" w:type="dxa"/>
                  <w:shd w:val="clear" w:color="auto" w:fill="auto"/>
                  <w:vAlign w:val="center"/>
                </w:tcPr>
                <w:p w:rsidR="00093CB9" w:rsidRPr="006F1615"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4.00%</w:t>
                  </w:r>
                </w:p>
              </w:tc>
              <w:tc>
                <w:tcPr>
                  <w:tcW w:w="1705" w:type="dxa"/>
                  <w:shd w:val="clear" w:color="auto" w:fill="auto"/>
                  <w:vAlign w:val="center"/>
                </w:tcPr>
                <w:p w:rsidR="00093CB9" w:rsidRPr="00D51202" w:rsidRDefault="00093CB9" w:rsidP="00093C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D51202">
                    <w:rPr>
                      <w:rFonts w:ascii="Times New Roman" w:hAnsi="Times New Roman" w:cs="Times New Roman"/>
                      <w:color w:val="000000"/>
                      <w:sz w:val="16"/>
                      <w:szCs w:val="16"/>
                    </w:rPr>
                    <w:t>4.00%</w:t>
                  </w:r>
                </w:p>
              </w:tc>
            </w:tr>
            <w:tr w:rsidR="00093CB9" w:rsidRPr="00301A9C" w:rsidTr="008D73B0">
              <w:trPr>
                <w:trHeight w:val="66"/>
              </w:trPr>
              <w:tc>
                <w:tcPr>
                  <w:cnfStyle w:val="001000000000" w:firstRow="0" w:lastRow="0" w:firstColumn="1" w:lastColumn="0" w:oddVBand="0" w:evenVBand="0" w:oddHBand="0" w:evenHBand="0" w:firstRowFirstColumn="0" w:firstRowLastColumn="0" w:lastRowFirstColumn="0" w:lastRowLastColumn="0"/>
                  <w:tcW w:w="4475" w:type="dxa"/>
                  <w:shd w:val="clear" w:color="auto" w:fill="auto"/>
                  <w:hideMark/>
                </w:tcPr>
                <w:p w:rsidR="00093CB9" w:rsidRPr="001739ED" w:rsidRDefault="00093CB9" w:rsidP="00093CB9">
                  <w:pPr>
                    <w:rPr>
                      <w:rFonts w:ascii="Times New Roman" w:eastAsia="Times New Roman" w:hAnsi="Times New Roman" w:cs="Times New Roman"/>
                      <w:b w:val="0"/>
                      <w:sz w:val="16"/>
                      <w:szCs w:val="16"/>
                    </w:rPr>
                  </w:pPr>
                  <w:r w:rsidRPr="001739ED">
                    <w:rPr>
                      <w:rFonts w:ascii="Times New Roman" w:eastAsia="Times New Roman" w:hAnsi="Times New Roman" w:cs="Times New Roman"/>
                      <w:sz w:val="16"/>
                      <w:szCs w:val="16"/>
                    </w:rPr>
                    <w:t>Weighted capitalization of top-10 companies</w:t>
                  </w:r>
                </w:p>
              </w:tc>
              <w:tc>
                <w:tcPr>
                  <w:tcW w:w="1705" w:type="dxa"/>
                  <w:vAlign w:val="bottom"/>
                </w:tcPr>
                <w:p w:rsidR="00093CB9" w:rsidRPr="00C44EC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44ECA">
                    <w:rPr>
                      <w:rFonts w:ascii="Times New Roman" w:hAnsi="Times New Roman" w:cs="Times New Roman"/>
                      <w:color w:val="000000"/>
                      <w:sz w:val="16"/>
                      <w:szCs w:val="16"/>
                    </w:rPr>
                    <w:t>22.45%</w:t>
                  </w:r>
                </w:p>
              </w:tc>
              <w:tc>
                <w:tcPr>
                  <w:tcW w:w="1705" w:type="dxa"/>
                  <w:vAlign w:val="bottom"/>
                </w:tcPr>
                <w:p w:rsidR="00093CB9" w:rsidRPr="0011453A"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1453A">
                    <w:rPr>
                      <w:rFonts w:ascii="Times New Roman" w:hAnsi="Times New Roman" w:cs="Times New Roman"/>
                      <w:color w:val="000000"/>
                      <w:sz w:val="16"/>
                      <w:szCs w:val="16"/>
                    </w:rPr>
                    <w:t>20.74%</w:t>
                  </w:r>
                </w:p>
              </w:tc>
              <w:tc>
                <w:tcPr>
                  <w:tcW w:w="1705" w:type="dxa"/>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20.94%</w:t>
                  </w:r>
                </w:p>
              </w:tc>
              <w:tc>
                <w:tcPr>
                  <w:tcW w:w="1705" w:type="dxa"/>
                  <w:shd w:val="clear" w:color="auto" w:fill="auto"/>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22.41%</w:t>
                  </w:r>
                </w:p>
              </w:tc>
              <w:tc>
                <w:tcPr>
                  <w:tcW w:w="1705" w:type="dxa"/>
                  <w:shd w:val="clear" w:color="auto" w:fill="auto"/>
                </w:tcPr>
                <w:p w:rsidR="00093CB9"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22.84%</w:t>
                  </w:r>
                </w:p>
              </w:tc>
              <w:tc>
                <w:tcPr>
                  <w:tcW w:w="1705" w:type="dxa"/>
                  <w:shd w:val="clear" w:color="auto" w:fill="auto"/>
                  <w:vAlign w:val="center"/>
                </w:tcPr>
                <w:p w:rsidR="00093CB9" w:rsidRPr="00633BA0"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33BA0">
                    <w:rPr>
                      <w:rFonts w:ascii="Times New Roman" w:hAnsi="Times New Roman" w:cs="Times New Roman"/>
                      <w:color w:val="000000"/>
                      <w:sz w:val="16"/>
                      <w:szCs w:val="16"/>
                    </w:rPr>
                    <w:t>25.49%</w:t>
                  </w:r>
                </w:p>
              </w:tc>
              <w:tc>
                <w:tcPr>
                  <w:tcW w:w="1705" w:type="dxa"/>
                  <w:shd w:val="clear" w:color="auto" w:fill="auto"/>
                  <w:vAlign w:val="center"/>
                </w:tcPr>
                <w:p w:rsidR="00093CB9" w:rsidRPr="0019390C"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9390C">
                    <w:rPr>
                      <w:rFonts w:ascii="Times New Roman" w:hAnsi="Times New Roman" w:cs="Times New Roman"/>
                      <w:color w:val="000000"/>
                      <w:sz w:val="16"/>
                      <w:szCs w:val="16"/>
                    </w:rPr>
                    <w:t>24.33%</w:t>
                  </w:r>
                </w:p>
              </w:tc>
              <w:tc>
                <w:tcPr>
                  <w:tcW w:w="1705" w:type="dxa"/>
                  <w:shd w:val="clear" w:color="auto" w:fill="auto"/>
                  <w:vAlign w:val="center"/>
                </w:tcPr>
                <w:p w:rsidR="00093CB9" w:rsidRPr="006F1615"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F1615">
                    <w:rPr>
                      <w:rFonts w:ascii="Times New Roman" w:hAnsi="Times New Roman" w:cs="Times New Roman"/>
                      <w:color w:val="000000"/>
                      <w:sz w:val="16"/>
                      <w:szCs w:val="16"/>
                    </w:rPr>
                    <w:t>26.53%</w:t>
                  </w:r>
                </w:p>
              </w:tc>
              <w:tc>
                <w:tcPr>
                  <w:tcW w:w="1705" w:type="dxa"/>
                  <w:shd w:val="clear" w:color="auto" w:fill="auto"/>
                  <w:vAlign w:val="center"/>
                </w:tcPr>
                <w:p w:rsidR="00093CB9" w:rsidRPr="00D51202" w:rsidRDefault="00093CB9" w:rsidP="00093C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D51202">
                    <w:rPr>
                      <w:rFonts w:ascii="Times New Roman" w:hAnsi="Times New Roman" w:cs="Times New Roman"/>
                      <w:color w:val="000000"/>
                      <w:sz w:val="16"/>
                      <w:szCs w:val="16"/>
                    </w:rPr>
                    <w:t>26.53%</w:t>
                  </w:r>
                </w:p>
              </w:tc>
            </w:tr>
          </w:tbl>
          <w:p w:rsidR="00474BB6" w:rsidRPr="00BC4093" w:rsidRDefault="00474BB6" w:rsidP="00474BB6">
            <w:pPr>
              <w:rPr>
                <w:rFonts w:ascii="Times New Roman" w:hAnsi="Times New Roman" w:cs="Times New Roman"/>
                <w:sz w:val="16"/>
                <w:szCs w:val="16"/>
              </w:rPr>
            </w:pPr>
          </w:p>
        </w:tc>
        <w:tc>
          <w:tcPr>
            <w:tcW w:w="5483" w:type="dxa"/>
            <w:gridSpan w:val="5"/>
          </w:tcPr>
          <w:p w:rsidR="00474BB6" w:rsidRPr="00CE5502" w:rsidRDefault="00474BB6" w:rsidP="00474BB6">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Base Date: </w:t>
            </w:r>
            <w:r>
              <w:rPr>
                <w:rFonts w:ascii="Times New Roman" w:hAnsi="Times New Roman" w:cs="Times New Roman"/>
                <w:sz w:val="16"/>
                <w:szCs w:val="18"/>
              </w:rPr>
              <w:t>24</w:t>
            </w:r>
            <w:r w:rsidRPr="00CE5502">
              <w:rPr>
                <w:rFonts w:ascii="Times New Roman" w:hAnsi="Times New Roman" w:cs="Times New Roman"/>
                <w:sz w:val="16"/>
                <w:szCs w:val="18"/>
              </w:rPr>
              <w:t>/01/20</w:t>
            </w:r>
            <w:r>
              <w:rPr>
                <w:rFonts w:ascii="Times New Roman" w:hAnsi="Times New Roman" w:cs="Times New Roman"/>
                <w:sz w:val="16"/>
                <w:szCs w:val="18"/>
              </w:rPr>
              <w:t>14</w:t>
            </w:r>
          </w:p>
          <w:p w:rsidR="00474BB6" w:rsidRPr="00CE5502" w:rsidRDefault="00474BB6" w:rsidP="00474BB6">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Base Value: </w:t>
            </w:r>
            <w:r>
              <w:rPr>
                <w:rFonts w:ascii="Times New Roman" w:hAnsi="Times New Roman" w:cs="Times New Roman"/>
                <w:sz w:val="16"/>
                <w:szCs w:val="18"/>
              </w:rPr>
              <w:t>560.19</w:t>
            </w:r>
          </w:p>
          <w:p w:rsidR="00474BB6" w:rsidRPr="00CE5502" w:rsidRDefault="00474BB6" w:rsidP="00474BB6">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Availability: </w:t>
            </w:r>
            <w:r w:rsidRPr="00CE5502">
              <w:rPr>
                <w:rFonts w:ascii="Times New Roman" w:hAnsi="Times New Roman" w:cs="Times New Roman"/>
                <w:sz w:val="16"/>
                <w:szCs w:val="18"/>
              </w:rPr>
              <w:t>Price and Total Return</w:t>
            </w:r>
          </w:p>
          <w:p w:rsidR="00474BB6" w:rsidRPr="00CE5502" w:rsidRDefault="00474BB6" w:rsidP="00474BB6">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Frequency: </w:t>
            </w:r>
          </w:p>
          <w:p w:rsidR="00474BB6" w:rsidRPr="00CE5502" w:rsidRDefault="00474BB6" w:rsidP="00474BB6">
            <w:pPr>
              <w:spacing w:line="276" w:lineRule="auto"/>
              <w:jc w:val="both"/>
              <w:rPr>
                <w:rFonts w:ascii="Times New Roman" w:hAnsi="Times New Roman" w:cs="Times New Roman"/>
                <w:b/>
                <w:sz w:val="16"/>
                <w:szCs w:val="18"/>
              </w:rPr>
            </w:pPr>
            <w:r>
              <w:rPr>
                <w:rFonts w:ascii="Times New Roman" w:hAnsi="Times New Roman" w:cs="Times New Roman"/>
                <w:b/>
                <w:sz w:val="16"/>
                <w:szCs w:val="18"/>
              </w:rPr>
              <w:t xml:space="preserve">- </w:t>
            </w:r>
            <w:proofErr w:type="spellStart"/>
            <w:r>
              <w:rPr>
                <w:rFonts w:ascii="Times New Roman" w:hAnsi="Times New Roman" w:cs="Times New Roman"/>
                <w:b/>
                <w:sz w:val="16"/>
                <w:szCs w:val="18"/>
              </w:rPr>
              <w:t>VNSmallcap</w:t>
            </w:r>
            <w:proofErr w:type="spellEnd"/>
            <w:r w:rsidRPr="00CE5502">
              <w:rPr>
                <w:rFonts w:ascii="Times New Roman" w:hAnsi="Times New Roman" w:cs="Times New Roman"/>
                <w:b/>
                <w:sz w:val="16"/>
                <w:szCs w:val="18"/>
              </w:rPr>
              <w:t xml:space="preserve">: </w:t>
            </w:r>
            <w:r w:rsidRPr="00CE5502">
              <w:rPr>
                <w:rFonts w:ascii="Times New Roman" w:hAnsi="Times New Roman" w:cs="Times New Roman"/>
                <w:sz w:val="16"/>
                <w:szCs w:val="18"/>
              </w:rPr>
              <w:t>Once per minute</w:t>
            </w:r>
            <w:r w:rsidRPr="00CE5502">
              <w:rPr>
                <w:rFonts w:ascii="Times New Roman" w:hAnsi="Times New Roman" w:cs="Times New Roman"/>
                <w:b/>
                <w:sz w:val="16"/>
                <w:szCs w:val="18"/>
              </w:rPr>
              <w:t>.</w:t>
            </w:r>
          </w:p>
          <w:p w:rsidR="00474BB6" w:rsidRPr="00CE5502" w:rsidRDefault="00474BB6" w:rsidP="00474BB6">
            <w:pPr>
              <w:spacing w:line="276" w:lineRule="auto"/>
              <w:jc w:val="both"/>
              <w:rPr>
                <w:rFonts w:ascii="Times New Roman" w:hAnsi="Times New Roman" w:cs="Times New Roman"/>
                <w:b/>
                <w:sz w:val="16"/>
                <w:szCs w:val="18"/>
              </w:rPr>
            </w:pPr>
            <w:r>
              <w:rPr>
                <w:rFonts w:ascii="Times New Roman" w:hAnsi="Times New Roman" w:cs="Times New Roman"/>
                <w:b/>
                <w:sz w:val="16"/>
                <w:szCs w:val="18"/>
              </w:rPr>
              <w:t xml:space="preserve">- </w:t>
            </w:r>
            <w:proofErr w:type="spellStart"/>
            <w:r>
              <w:rPr>
                <w:rFonts w:ascii="Times New Roman" w:hAnsi="Times New Roman" w:cs="Times New Roman"/>
                <w:b/>
                <w:sz w:val="16"/>
                <w:szCs w:val="18"/>
              </w:rPr>
              <w:t>VNSmallcap</w:t>
            </w:r>
            <w:r w:rsidRPr="00CE5502">
              <w:rPr>
                <w:rFonts w:ascii="Times New Roman" w:hAnsi="Times New Roman" w:cs="Times New Roman"/>
                <w:b/>
                <w:sz w:val="16"/>
                <w:szCs w:val="18"/>
              </w:rPr>
              <w:t>TRI</w:t>
            </w:r>
            <w:proofErr w:type="spellEnd"/>
            <w:r w:rsidRPr="00CE5502">
              <w:rPr>
                <w:rFonts w:ascii="Times New Roman" w:hAnsi="Times New Roman" w:cs="Times New Roman"/>
                <w:b/>
                <w:sz w:val="16"/>
                <w:szCs w:val="18"/>
              </w:rPr>
              <w:t xml:space="preserve">: </w:t>
            </w:r>
            <w:r w:rsidRPr="00CE5502">
              <w:rPr>
                <w:rFonts w:ascii="Times New Roman" w:hAnsi="Times New Roman" w:cs="Times New Roman"/>
                <w:sz w:val="16"/>
                <w:szCs w:val="18"/>
              </w:rPr>
              <w:t>End of day</w:t>
            </w:r>
            <w:r w:rsidRPr="00CE5502">
              <w:rPr>
                <w:rFonts w:ascii="Times New Roman" w:hAnsi="Times New Roman" w:cs="Times New Roman"/>
                <w:b/>
                <w:sz w:val="16"/>
                <w:szCs w:val="18"/>
              </w:rPr>
              <w:t>.</w:t>
            </w:r>
          </w:p>
          <w:p w:rsidR="00474BB6" w:rsidRPr="00CE5502" w:rsidRDefault="00474BB6" w:rsidP="00474BB6">
            <w:pPr>
              <w:spacing w:line="276" w:lineRule="auto"/>
              <w:jc w:val="both"/>
              <w:rPr>
                <w:rFonts w:ascii="Times New Roman" w:hAnsi="Times New Roman" w:cs="Times New Roman"/>
                <w:b/>
                <w:sz w:val="16"/>
                <w:szCs w:val="18"/>
              </w:rPr>
            </w:pPr>
            <w:r w:rsidRPr="00CE5502">
              <w:rPr>
                <w:rFonts w:ascii="Times New Roman" w:hAnsi="Times New Roman" w:cs="Times New Roman"/>
                <w:b/>
                <w:sz w:val="16"/>
                <w:szCs w:val="18"/>
              </w:rPr>
              <w:t xml:space="preserve">Capping limit: </w:t>
            </w:r>
            <w:r w:rsidRPr="00CE5502">
              <w:rPr>
                <w:rFonts w:ascii="Times New Roman" w:hAnsi="Times New Roman" w:cs="Times New Roman"/>
                <w:sz w:val="16"/>
                <w:szCs w:val="18"/>
              </w:rPr>
              <w:t>10%</w:t>
            </w:r>
          </w:p>
          <w:p w:rsidR="00474BB6" w:rsidRPr="00CE5502" w:rsidRDefault="00474BB6" w:rsidP="00474BB6">
            <w:pPr>
              <w:spacing w:line="276" w:lineRule="auto"/>
              <w:jc w:val="both"/>
              <w:rPr>
                <w:rFonts w:ascii="Times New Roman" w:hAnsi="Times New Roman" w:cs="Times New Roman"/>
                <w:sz w:val="16"/>
                <w:szCs w:val="18"/>
              </w:rPr>
            </w:pPr>
            <w:r w:rsidRPr="00CE5502">
              <w:rPr>
                <w:rFonts w:ascii="Times New Roman" w:hAnsi="Times New Roman" w:cs="Times New Roman"/>
                <w:b/>
                <w:sz w:val="16"/>
                <w:szCs w:val="18"/>
              </w:rPr>
              <w:t>Calculation Method:</w:t>
            </w:r>
            <w:r>
              <w:rPr>
                <w:rFonts w:ascii="Times New Roman" w:hAnsi="Times New Roman" w:cs="Times New Roman"/>
                <w:b/>
                <w:sz w:val="16"/>
                <w:szCs w:val="18"/>
              </w:rPr>
              <w:t xml:space="preserve"> </w:t>
            </w:r>
            <w:r w:rsidRPr="00E771F9">
              <w:rPr>
                <w:rFonts w:ascii="Times New Roman" w:hAnsi="Times New Roman" w:cs="Times New Roman"/>
                <w:sz w:val="16"/>
                <w:szCs w:val="16"/>
              </w:rPr>
              <w:t>Free-float adjusted market-capitalization weighted index.</w:t>
            </w:r>
          </w:p>
          <w:p w:rsidR="00474BB6" w:rsidRPr="004E1251" w:rsidRDefault="00474BB6" w:rsidP="00474BB6">
            <w:pPr>
              <w:spacing w:line="276" w:lineRule="auto"/>
              <w:jc w:val="both"/>
              <w:rPr>
                <w:rFonts w:ascii="Times New Roman" w:hAnsi="Times New Roman" w:cs="Times New Roman"/>
                <w:sz w:val="16"/>
                <w:szCs w:val="18"/>
              </w:rPr>
            </w:pPr>
            <w:r w:rsidRPr="00CE5502">
              <w:rPr>
                <w:rFonts w:ascii="Times New Roman" w:hAnsi="Times New Roman" w:cs="Times New Roman"/>
                <w:b/>
                <w:sz w:val="16"/>
                <w:szCs w:val="18"/>
              </w:rPr>
              <w:t xml:space="preserve">Currency: </w:t>
            </w:r>
            <w:r w:rsidRPr="00CE5502">
              <w:rPr>
                <w:rFonts w:ascii="Times New Roman" w:hAnsi="Times New Roman" w:cs="Times New Roman"/>
                <w:sz w:val="16"/>
                <w:szCs w:val="18"/>
              </w:rPr>
              <w:t>VND</w:t>
            </w:r>
          </w:p>
        </w:tc>
      </w:tr>
      <w:tr w:rsidR="00474BB6" w:rsidRPr="006D2F55" w:rsidTr="00474BB6">
        <w:tblPrEx>
          <w:tblCellMar>
            <w:left w:w="108" w:type="dxa"/>
            <w:right w:w="108" w:type="dxa"/>
          </w:tblCellMar>
        </w:tblPrEx>
        <w:trPr>
          <w:trHeight w:hRule="exact" w:val="302"/>
        </w:trPr>
        <w:tc>
          <w:tcPr>
            <w:tcW w:w="5825" w:type="dxa"/>
            <w:gridSpan w:val="4"/>
            <w:vMerge w:val="restart"/>
          </w:tcPr>
          <w:p w:rsidR="00474BB6" w:rsidRDefault="0074250D" w:rsidP="00474BB6">
            <w:pPr>
              <w:rPr>
                <w:rFonts w:eastAsia="Times New Roman" w:cs="Times New Roman"/>
                <w:sz w:val="16"/>
                <w:szCs w:val="16"/>
              </w:rPr>
            </w:pPr>
            <w:r>
              <w:rPr>
                <w:rFonts w:eastAsia="Times New Roman" w:cs="Times New Roman"/>
                <w:noProof/>
                <w:sz w:val="16"/>
                <w:szCs w:val="16"/>
              </w:rPr>
              <w:drawing>
                <wp:inline distT="0" distB="0" distL="0" distR="0" wp14:anchorId="15E987FB">
                  <wp:extent cx="3688715" cy="154876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88715" cy="1548765"/>
                          </a:xfrm>
                          <a:prstGeom prst="rect">
                            <a:avLst/>
                          </a:prstGeom>
                          <a:noFill/>
                        </pic:spPr>
                      </pic:pic>
                    </a:graphicData>
                  </a:graphic>
                </wp:inline>
              </w:drawing>
            </w:r>
            <w:r w:rsidR="00AF2897">
              <w:rPr>
                <w:noProof/>
              </w:rPr>
              <w:drawing>
                <wp:inline distT="0" distB="0" distL="0" distR="0" wp14:anchorId="66EAB59B" wp14:editId="5545EBED">
                  <wp:extent cx="3687488" cy="1541767"/>
                  <wp:effectExtent l="0" t="0" r="8255" b="1905"/>
                  <wp:docPr id="5" name="Chart 5">
                    <a:extLst xmlns:a="http://schemas.openxmlformats.org/drawingml/2006/main">
                      <a:ext uri="{FF2B5EF4-FFF2-40B4-BE49-F238E27FC236}">
                        <a16:creationId xmlns:a16="http://schemas.microsoft.com/office/drawing/2014/main" id="{00000000-0008-0000-0100-00002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483" w:type="dxa"/>
            <w:gridSpan w:val="5"/>
            <w:shd w:val="clear" w:color="auto" w:fill="0070C0"/>
            <w:vAlign w:val="center"/>
          </w:tcPr>
          <w:p w:rsidR="00474BB6" w:rsidRPr="00CE5502" w:rsidRDefault="00474BB6" w:rsidP="00474BB6">
            <w:pPr>
              <w:rPr>
                <w:rFonts w:ascii="Times New Roman" w:hAnsi="Times New Roman" w:cs="Times New Roman"/>
                <w:b/>
                <w:sz w:val="16"/>
                <w:szCs w:val="18"/>
              </w:rPr>
            </w:pPr>
            <w:r w:rsidRPr="006D2F55">
              <w:rPr>
                <w:rFonts w:ascii="Times New Roman" w:hAnsi="Times New Roman" w:cs="Times New Roman"/>
                <w:b/>
                <w:color w:val="FFFFFF" w:themeColor="background1"/>
              </w:rPr>
              <w:t>Ind</w:t>
            </w:r>
            <w:r>
              <w:rPr>
                <w:rFonts w:ascii="Times New Roman" w:hAnsi="Times New Roman" w:cs="Times New Roman"/>
                <w:b/>
                <w:color w:val="FFFFFF" w:themeColor="background1"/>
              </w:rPr>
              <w:t xml:space="preserve">ex </w:t>
            </w:r>
            <w:r w:rsidRPr="006D2F55">
              <w:rPr>
                <w:rFonts w:ascii="Times New Roman" w:hAnsi="Times New Roman" w:cs="Times New Roman"/>
                <w:b/>
                <w:color w:val="FFFFFF" w:themeColor="background1"/>
              </w:rPr>
              <w:t>Volatility</w:t>
            </w:r>
          </w:p>
        </w:tc>
      </w:tr>
      <w:tr w:rsidR="00474BB6" w:rsidRPr="006D2F55" w:rsidTr="00474BB6">
        <w:trPr>
          <w:trHeight w:hRule="exact" w:val="1010"/>
        </w:trPr>
        <w:tc>
          <w:tcPr>
            <w:tcW w:w="5825" w:type="dxa"/>
            <w:gridSpan w:val="4"/>
            <w:vMerge/>
          </w:tcPr>
          <w:p w:rsidR="00474BB6" w:rsidRDefault="00474BB6" w:rsidP="00474BB6">
            <w:pPr>
              <w:rPr>
                <w:rFonts w:eastAsia="Times New Roman" w:cs="Times New Roman"/>
                <w:sz w:val="16"/>
                <w:szCs w:val="16"/>
              </w:rPr>
            </w:pPr>
          </w:p>
        </w:tc>
        <w:tc>
          <w:tcPr>
            <w:tcW w:w="5483" w:type="dxa"/>
            <w:gridSpan w:val="5"/>
            <w:vAlign w:val="center"/>
          </w:tcPr>
          <w:tbl>
            <w:tblPr>
              <w:tblW w:w="5274"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879"/>
              <w:gridCol w:w="879"/>
              <w:gridCol w:w="879"/>
              <w:gridCol w:w="879"/>
              <w:gridCol w:w="879"/>
              <w:gridCol w:w="879"/>
            </w:tblGrid>
            <w:tr w:rsidR="00474BB6" w:rsidRPr="00C84839" w:rsidTr="00E30240">
              <w:trPr>
                <w:trHeight w:val="283"/>
              </w:trPr>
              <w:tc>
                <w:tcPr>
                  <w:tcW w:w="879" w:type="dxa"/>
                  <w:tcBorders>
                    <w:right w:val="single" w:sz="4" w:space="0" w:color="0070C0"/>
                  </w:tcBorders>
                  <w:shd w:val="clear" w:color="auto" w:fill="auto"/>
                  <w:noWrap/>
                  <w:vAlign w:val="center"/>
                  <w:hideMark/>
                </w:tcPr>
                <w:p w:rsidR="00474BB6" w:rsidRPr="004260EC" w:rsidRDefault="00474BB6" w:rsidP="0074250D">
                  <w:pPr>
                    <w:framePr w:hSpace="180" w:wrap="around" w:vAnchor="text" w:hAnchor="margin" w:y="-71"/>
                    <w:spacing w:after="0" w:line="240" w:lineRule="auto"/>
                    <w:jc w:val="center"/>
                    <w:rPr>
                      <w:rFonts w:ascii="Times New Roman" w:eastAsia="Times New Roman" w:hAnsi="Times New Roman" w:cs="Times New Roman"/>
                      <w:sz w:val="14"/>
                      <w:szCs w:val="14"/>
                    </w:rPr>
                  </w:pPr>
                </w:p>
              </w:tc>
              <w:tc>
                <w:tcPr>
                  <w:tcW w:w="879" w:type="dxa"/>
                  <w:tcBorders>
                    <w:left w:val="single" w:sz="4" w:space="0" w:color="0070C0"/>
                  </w:tcBorders>
                  <w:shd w:val="clear" w:color="auto" w:fill="auto"/>
                  <w:noWrap/>
                  <w:vAlign w:val="center"/>
                  <w:hideMark/>
                </w:tcPr>
                <w:p w:rsidR="00474BB6" w:rsidRPr="00F26A05" w:rsidRDefault="00474BB6"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months</w:t>
                  </w:r>
                </w:p>
              </w:tc>
              <w:tc>
                <w:tcPr>
                  <w:tcW w:w="879" w:type="dxa"/>
                  <w:shd w:val="clear" w:color="auto" w:fill="auto"/>
                  <w:noWrap/>
                  <w:vAlign w:val="center"/>
                  <w:hideMark/>
                </w:tcPr>
                <w:p w:rsidR="00474BB6" w:rsidRPr="00F26A05" w:rsidRDefault="00474BB6"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6 months</w:t>
                  </w:r>
                </w:p>
              </w:tc>
              <w:tc>
                <w:tcPr>
                  <w:tcW w:w="879" w:type="dxa"/>
                  <w:shd w:val="clear" w:color="auto" w:fill="auto"/>
                  <w:noWrap/>
                  <w:vAlign w:val="center"/>
                  <w:hideMark/>
                </w:tcPr>
                <w:p w:rsidR="00474BB6" w:rsidRPr="00F26A05" w:rsidRDefault="00474BB6"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1 year</w:t>
                  </w:r>
                </w:p>
              </w:tc>
              <w:tc>
                <w:tcPr>
                  <w:tcW w:w="879" w:type="dxa"/>
                  <w:shd w:val="clear" w:color="auto" w:fill="auto"/>
                  <w:noWrap/>
                  <w:vAlign w:val="center"/>
                  <w:hideMark/>
                </w:tcPr>
                <w:p w:rsidR="00474BB6" w:rsidRPr="00F26A05" w:rsidRDefault="00474BB6"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years</w:t>
                  </w:r>
                </w:p>
              </w:tc>
              <w:tc>
                <w:tcPr>
                  <w:tcW w:w="879" w:type="dxa"/>
                  <w:shd w:val="clear" w:color="auto" w:fill="auto"/>
                  <w:noWrap/>
                  <w:vAlign w:val="center"/>
                  <w:hideMark/>
                </w:tcPr>
                <w:p w:rsidR="00474BB6" w:rsidRPr="00F26A05" w:rsidRDefault="00474BB6"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5 years</w:t>
                  </w:r>
                </w:p>
              </w:tc>
            </w:tr>
            <w:tr w:rsidR="00093CB9" w:rsidRPr="00C84839" w:rsidTr="00E30240">
              <w:trPr>
                <w:trHeight w:val="283"/>
              </w:trPr>
              <w:tc>
                <w:tcPr>
                  <w:tcW w:w="879" w:type="dxa"/>
                  <w:tcBorders>
                    <w:right w:val="single" w:sz="4" w:space="0" w:color="0070C0"/>
                  </w:tcBorders>
                  <w:shd w:val="clear" w:color="auto" w:fill="auto"/>
                  <w:noWrap/>
                  <w:vAlign w:val="center"/>
                  <w:hideMark/>
                </w:tcPr>
                <w:p w:rsidR="00093CB9" w:rsidRPr="00093CB9" w:rsidRDefault="00093CB9" w:rsidP="00093CB9">
                  <w:pPr>
                    <w:framePr w:hSpace="180" w:wrap="around" w:vAnchor="text" w:hAnchor="margin" w:y="-71"/>
                    <w:spacing w:after="0" w:line="240" w:lineRule="auto"/>
                    <w:jc w:val="center"/>
                    <w:rPr>
                      <w:rFonts w:ascii="Times New Roman" w:eastAsia="Times New Roman" w:hAnsi="Times New Roman" w:cs="Times New Roman"/>
                      <w:b/>
                      <w:bCs/>
                      <w:color w:val="000000"/>
                      <w:sz w:val="12"/>
                      <w:szCs w:val="12"/>
                    </w:rPr>
                  </w:pPr>
                  <w:proofErr w:type="spellStart"/>
                  <w:r w:rsidRPr="00093CB9">
                    <w:rPr>
                      <w:rFonts w:ascii="Times New Roman" w:eastAsia="Times New Roman" w:hAnsi="Times New Roman" w:cs="Times New Roman"/>
                      <w:b/>
                      <w:bCs/>
                      <w:color w:val="000000"/>
                      <w:sz w:val="12"/>
                      <w:szCs w:val="12"/>
                    </w:rPr>
                    <w:t>VNSmallcap</w:t>
                  </w:r>
                  <w:proofErr w:type="spellEnd"/>
                </w:p>
              </w:tc>
              <w:tc>
                <w:tcPr>
                  <w:tcW w:w="879" w:type="dxa"/>
                  <w:tcBorders>
                    <w:left w:val="single" w:sz="4" w:space="0" w:color="0070C0"/>
                  </w:tcBorders>
                  <w:shd w:val="clear" w:color="auto" w:fill="auto"/>
                  <w:noWrap/>
                  <w:vAlign w:val="center"/>
                  <w:hideMark/>
                </w:tcPr>
                <w:p w:rsidR="00093CB9" w:rsidRPr="00C44ECA" w:rsidRDefault="00093CB9" w:rsidP="00093CB9">
                  <w:pPr>
                    <w:framePr w:hSpace="180" w:wrap="around" w:vAnchor="text" w:hAnchor="margin" w:y="-71"/>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4.54%</w:t>
                  </w:r>
                </w:p>
              </w:tc>
              <w:tc>
                <w:tcPr>
                  <w:tcW w:w="879" w:type="dxa"/>
                  <w:shd w:val="clear" w:color="auto" w:fill="auto"/>
                  <w:noWrap/>
                  <w:vAlign w:val="center"/>
                  <w:hideMark/>
                </w:tcPr>
                <w:p w:rsidR="00093CB9" w:rsidRPr="00C44ECA" w:rsidRDefault="00093CB9" w:rsidP="00093CB9">
                  <w:pPr>
                    <w:framePr w:hSpace="180" w:wrap="around" w:vAnchor="text" w:hAnchor="margin" w:y="-71"/>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6.08%</w:t>
                  </w:r>
                </w:p>
              </w:tc>
              <w:tc>
                <w:tcPr>
                  <w:tcW w:w="879" w:type="dxa"/>
                  <w:shd w:val="clear" w:color="auto" w:fill="auto"/>
                  <w:noWrap/>
                  <w:vAlign w:val="center"/>
                  <w:hideMark/>
                </w:tcPr>
                <w:p w:rsidR="00093CB9" w:rsidRPr="00C44ECA" w:rsidRDefault="00093CB9" w:rsidP="00093CB9">
                  <w:pPr>
                    <w:framePr w:hSpace="180" w:wrap="around" w:vAnchor="text" w:hAnchor="margin" w:y="-71"/>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10.38%</w:t>
                  </w:r>
                </w:p>
              </w:tc>
              <w:tc>
                <w:tcPr>
                  <w:tcW w:w="879" w:type="dxa"/>
                  <w:shd w:val="clear" w:color="auto" w:fill="auto"/>
                  <w:noWrap/>
                  <w:vAlign w:val="center"/>
                  <w:hideMark/>
                </w:tcPr>
                <w:p w:rsidR="00093CB9" w:rsidRPr="00C44ECA" w:rsidRDefault="00093CB9" w:rsidP="00093CB9">
                  <w:pPr>
                    <w:framePr w:hSpace="180" w:wrap="around" w:vAnchor="text" w:hAnchor="margin" w:y="-71"/>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19.33%</w:t>
                  </w:r>
                </w:p>
              </w:tc>
              <w:tc>
                <w:tcPr>
                  <w:tcW w:w="879" w:type="dxa"/>
                  <w:shd w:val="clear" w:color="auto" w:fill="auto"/>
                  <w:noWrap/>
                  <w:vAlign w:val="center"/>
                  <w:hideMark/>
                </w:tcPr>
                <w:p w:rsidR="00093CB9" w:rsidRPr="00C44ECA" w:rsidRDefault="00093CB9" w:rsidP="00093CB9">
                  <w:pPr>
                    <w:framePr w:hSpace="180" w:wrap="around" w:vAnchor="text" w:hAnchor="margin" w:y="-71"/>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27.45%</w:t>
                  </w:r>
                </w:p>
              </w:tc>
            </w:tr>
          </w:tbl>
          <w:p w:rsidR="00474BB6" w:rsidRPr="00CE5502" w:rsidRDefault="00474BB6" w:rsidP="00474BB6">
            <w:pPr>
              <w:jc w:val="center"/>
              <w:rPr>
                <w:rFonts w:ascii="Times New Roman" w:hAnsi="Times New Roman" w:cs="Times New Roman"/>
                <w:b/>
                <w:sz w:val="16"/>
                <w:szCs w:val="18"/>
              </w:rPr>
            </w:pPr>
          </w:p>
        </w:tc>
      </w:tr>
      <w:tr w:rsidR="00474BB6" w:rsidRPr="006D2F55" w:rsidTr="00474BB6">
        <w:trPr>
          <w:trHeight w:hRule="exact" w:val="302"/>
        </w:trPr>
        <w:tc>
          <w:tcPr>
            <w:tcW w:w="5825" w:type="dxa"/>
            <w:gridSpan w:val="4"/>
            <w:vMerge/>
          </w:tcPr>
          <w:p w:rsidR="00474BB6" w:rsidRDefault="00474BB6" w:rsidP="00474BB6">
            <w:pPr>
              <w:rPr>
                <w:rFonts w:eastAsia="Times New Roman" w:cs="Times New Roman"/>
                <w:sz w:val="16"/>
                <w:szCs w:val="16"/>
              </w:rPr>
            </w:pPr>
          </w:p>
        </w:tc>
        <w:tc>
          <w:tcPr>
            <w:tcW w:w="5483" w:type="dxa"/>
            <w:gridSpan w:val="5"/>
            <w:shd w:val="clear" w:color="auto" w:fill="0070C0"/>
            <w:vAlign w:val="center"/>
          </w:tcPr>
          <w:p w:rsidR="00474BB6" w:rsidRPr="00CE5502" w:rsidRDefault="00474BB6" w:rsidP="00474BB6">
            <w:pPr>
              <w:rPr>
                <w:rFonts w:ascii="Times New Roman" w:hAnsi="Times New Roman" w:cs="Times New Roman"/>
                <w:b/>
                <w:sz w:val="16"/>
                <w:szCs w:val="18"/>
              </w:rPr>
            </w:pPr>
            <w:r w:rsidRPr="006D2F55">
              <w:rPr>
                <w:rFonts w:ascii="Times New Roman" w:hAnsi="Times New Roman" w:cs="Times New Roman"/>
                <w:b/>
                <w:color w:val="FFFFFF" w:themeColor="background1"/>
              </w:rPr>
              <w:t xml:space="preserve">Correlation </w:t>
            </w:r>
            <w:r>
              <w:rPr>
                <w:rFonts w:ascii="Times New Roman" w:hAnsi="Times New Roman" w:cs="Times New Roman"/>
                <w:b/>
                <w:color w:val="FFFFFF" w:themeColor="background1"/>
              </w:rPr>
              <w:t>with VN Index</w:t>
            </w:r>
          </w:p>
        </w:tc>
      </w:tr>
      <w:tr w:rsidR="00474BB6" w:rsidRPr="006D2F55" w:rsidTr="00474BB6">
        <w:trPr>
          <w:trHeight w:hRule="exact" w:val="875"/>
        </w:trPr>
        <w:tc>
          <w:tcPr>
            <w:tcW w:w="5825" w:type="dxa"/>
            <w:gridSpan w:val="4"/>
            <w:vMerge/>
          </w:tcPr>
          <w:p w:rsidR="00474BB6" w:rsidRDefault="00474BB6" w:rsidP="00474BB6">
            <w:pPr>
              <w:rPr>
                <w:rFonts w:eastAsia="Times New Roman" w:cs="Times New Roman"/>
                <w:sz w:val="16"/>
                <w:szCs w:val="16"/>
              </w:rPr>
            </w:pPr>
          </w:p>
        </w:tc>
        <w:tc>
          <w:tcPr>
            <w:tcW w:w="5483" w:type="dxa"/>
            <w:gridSpan w:val="5"/>
            <w:vAlign w:val="center"/>
          </w:tcPr>
          <w:tbl>
            <w:tblPr>
              <w:tblW w:w="5274" w:type="dxa"/>
              <w:tblInd w:w="1"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879"/>
              <w:gridCol w:w="879"/>
              <w:gridCol w:w="879"/>
              <w:gridCol w:w="879"/>
              <w:gridCol w:w="879"/>
              <w:gridCol w:w="879"/>
            </w:tblGrid>
            <w:tr w:rsidR="00474BB6" w:rsidRPr="00C84839" w:rsidTr="00E30240">
              <w:trPr>
                <w:trHeight w:val="283"/>
              </w:trPr>
              <w:tc>
                <w:tcPr>
                  <w:tcW w:w="879" w:type="dxa"/>
                  <w:tcBorders>
                    <w:right w:val="single" w:sz="4" w:space="0" w:color="0070C0"/>
                  </w:tcBorders>
                  <w:shd w:val="clear" w:color="auto" w:fill="auto"/>
                  <w:noWrap/>
                  <w:vAlign w:val="center"/>
                  <w:hideMark/>
                </w:tcPr>
                <w:p w:rsidR="00474BB6" w:rsidRPr="004260EC" w:rsidRDefault="00474BB6" w:rsidP="0074250D">
                  <w:pPr>
                    <w:framePr w:hSpace="180" w:wrap="around" w:vAnchor="text" w:hAnchor="margin" w:y="-71"/>
                    <w:spacing w:after="0" w:line="240" w:lineRule="auto"/>
                    <w:jc w:val="center"/>
                    <w:rPr>
                      <w:rFonts w:ascii="Times New Roman" w:eastAsia="Times New Roman" w:hAnsi="Times New Roman" w:cs="Times New Roman"/>
                      <w:sz w:val="14"/>
                      <w:szCs w:val="14"/>
                    </w:rPr>
                  </w:pPr>
                </w:p>
              </w:tc>
              <w:tc>
                <w:tcPr>
                  <w:tcW w:w="879" w:type="dxa"/>
                  <w:tcBorders>
                    <w:left w:val="single" w:sz="4" w:space="0" w:color="0070C0"/>
                  </w:tcBorders>
                  <w:shd w:val="clear" w:color="auto" w:fill="auto"/>
                  <w:noWrap/>
                  <w:vAlign w:val="center"/>
                  <w:hideMark/>
                </w:tcPr>
                <w:p w:rsidR="00474BB6" w:rsidRPr="00F26A05" w:rsidRDefault="00474BB6"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months</w:t>
                  </w:r>
                </w:p>
              </w:tc>
              <w:tc>
                <w:tcPr>
                  <w:tcW w:w="879" w:type="dxa"/>
                  <w:shd w:val="clear" w:color="auto" w:fill="auto"/>
                  <w:noWrap/>
                  <w:vAlign w:val="center"/>
                  <w:hideMark/>
                </w:tcPr>
                <w:p w:rsidR="00474BB6" w:rsidRPr="00F26A05" w:rsidRDefault="00474BB6"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6 months</w:t>
                  </w:r>
                </w:p>
              </w:tc>
              <w:tc>
                <w:tcPr>
                  <w:tcW w:w="879" w:type="dxa"/>
                  <w:shd w:val="clear" w:color="auto" w:fill="auto"/>
                  <w:noWrap/>
                  <w:vAlign w:val="center"/>
                  <w:hideMark/>
                </w:tcPr>
                <w:p w:rsidR="00474BB6" w:rsidRPr="00F26A05" w:rsidRDefault="00474BB6"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1 year</w:t>
                  </w:r>
                </w:p>
              </w:tc>
              <w:tc>
                <w:tcPr>
                  <w:tcW w:w="879" w:type="dxa"/>
                  <w:shd w:val="clear" w:color="auto" w:fill="auto"/>
                  <w:noWrap/>
                  <w:vAlign w:val="center"/>
                  <w:hideMark/>
                </w:tcPr>
                <w:p w:rsidR="00474BB6" w:rsidRPr="00F26A05" w:rsidRDefault="00474BB6"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3 years</w:t>
                  </w:r>
                </w:p>
              </w:tc>
              <w:tc>
                <w:tcPr>
                  <w:tcW w:w="879" w:type="dxa"/>
                  <w:shd w:val="clear" w:color="auto" w:fill="auto"/>
                  <w:noWrap/>
                  <w:vAlign w:val="center"/>
                  <w:hideMark/>
                </w:tcPr>
                <w:p w:rsidR="00474BB6" w:rsidRPr="00F26A05" w:rsidRDefault="00474BB6" w:rsidP="0074250D">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r w:rsidRPr="00F26A05">
                    <w:rPr>
                      <w:rFonts w:ascii="Times New Roman" w:eastAsia="Times New Roman" w:hAnsi="Times New Roman" w:cs="Times New Roman"/>
                      <w:b/>
                      <w:bCs/>
                      <w:color w:val="000000"/>
                      <w:sz w:val="14"/>
                      <w:szCs w:val="14"/>
                    </w:rPr>
                    <w:t>5 years</w:t>
                  </w:r>
                </w:p>
              </w:tc>
            </w:tr>
            <w:tr w:rsidR="00093CB9" w:rsidRPr="00C84839" w:rsidTr="00E30240">
              <w:trPr>
                <w:trHeight w:val="283"/>
              </w:trPr>
              <w:tc>
                <w:tcPr>
                  <w:tcW w:w="879" w:type="dxa"/>
                  <w:tcBorders>
                    <w:right w:val="single" w:sz="4" w:space="0" w:color="0070C0"/>
                  </w:tcBorders>
                  <w:shd w:val="clear" w:color="auto" w:fill="auto"/>
                  <w:noWrap/>
                  <w:vAlign w:val="center"/>
                  <w:hideMark/>
                </w:tcPr>
                <w:p w:rsidR="00093CB9" w:rsidRPr="00093CB9" w:rsidRDefault="00093CB9" w:rsidP="00093CB9">
                  <w:pPr>
                    <w:framePr w:hSpace="180" w:wrap="around" w:vAnchor="text" w:hAnchor="margin" w:y="-71"/>
                    <w:spacing w:after="0" w:line="240" w:lineRule="auto"/>
                    <w:jc w:val="center"/>
                    <w:rPr>
                      <w:rFonts w:ascii="Times New Roman" w:eastAsia="Times New Roman" w:hAnsi="Times New Roman" w:cs="Times New Roman"/>
                      <w:b/>
                      <w:bCs/>
                      <w:color w:val="000000"/>
                      <w:sz w:val="12"/>
                      <w:szCs w:val="12"/>
                    </w:rPr>
                  </w:pPr>
                  <w:proofErr w:type="spellStart"/>
                  <w:r w:rsidRPr="00093CB9">
                    <w:rPr>
                      <w:rFonts w:ascii="Times New Roman" w:eastAsia="Times New Roman" w:hAnsi="Times New Roman" w:cs="Times New Roman"/>
                      <w:b/>
                      <w:bCs/>
                      <w:color w:val="000000"/>
                      <w:sz w:val="12"/>
                      <w:szCs w:val="12"/>
                    </w:rPr>
                    <w:t>VNSmallcap</w:t>
                  </w:r>
                  <w:proofErr w:type="spellEnd"/>
                </w:p>
              </w:tc>
              <w:tc>
                <w:tcPr>
                  <w:tcW w:w="879" w:type="dxa"/>
                  <w:tcBorders>
                    <w:left w:val="single" w:sz="4" w:space="0" w:color="0070C0"/>
                  </w:tcBorders>
                  <w:shd w:val="clear" w:color="auto" w:fill="auto"/>
                  <w:noWrap/>
                  <w:vAlign w:val="center"/>
                  <w:hideMark/>
                </w:tcPr>
                <w:p w:rsidR="00093CB9" w:rsidRPr="00C44ECA" w:rsidRDefault="00093CB9" w:rsidP="00093CB9">
                  <w:pPr>
                    <w:framePr w:hSpace="180" w:wrap="around" w:vAnchor="text" w:hAnchor="margin" w:y="-71"/>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72.13%</w:t>
                  </w:r>
                </w:p>
              </w:tc>
              <w:tc>
                <w:tcPr>
                  <w:tcW w:w="879" w:type="dxa"/>
                  <w:shd w:val="clear" w:color="auto" w:fill="auto"/>
                  <w:noWrap/>
                  <w:vAlign w:val="center"/>
                  <w:hideMark/>
                </w:tcPr>
                <w:p w:rsidR="00093CB9" w:rsidRPr="00C44ECA" w:rsidRDefault="00093CB9" w:rsidP="00093CB9">
                  <w:pPr>
                    <w:framePr w:hSpace="180" w:wrap="around" w:vAnchor="text" w:hAnchor="margin" w:y="-71"/>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69.00%</w:t>
                  </w:r>
                </w:p>
              </w:tc>
              <w:tc>
                <w:tcPr>
                  <w:tcW w:w="879" w:type="dxa"/>
                  <w:shd w:val="clear" w:color="auto" w:fill="auto"/>
                  <w:noWrap/>
                  <w:vAlign w:val="center"/>
                  <w:hideMark/>
                </w:tcPr>
                <w:p w:rsidR="00093CB9" w:rsidRPr="00C44ECA" w:rsidRDefault="00093CB9" w:rsidP="00093CB9">
                  <w:pPr>
                    <w:framePr w:hSpace="180" w:wrap="around" w:vAnchor="text" w:hAnchor="margin" w:y="-71"/>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79.02%</w:t>
                  </w:r>
                </w:p>
              </w:tc>
              <w:tc>
                <w:tcPr>
                  <w:tcW w:w="879" w:type="dxa"/>
                  <w:shd w:val="clear" w:color="auto" w:fill="auto"/>
                  <w:noWrap/>
                  <w:vAlign w:val="center"/>
                  <w:hideMark/>
                </w:tcPr>
                <w:p w:rsidR="00093CB9" w:rsidRPr="00C44ECA" w:rsidRDefault="00093CB9" w:rsidP="00093CB9">
                  <w:pPr>
                    <w:framePr w:hSpace="180" w:wrap="around" w:vAnchor="text" w:hAnchor="margin" w:y="-71"/>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69.16%</w:t>
                  </w:r>
                </w:p>
              </w:tc>
              <w:tc>
                <w:tcPr>
                  <w:tcW w:w="879" w:type="dxa"/>
                  <w:shd w:val="clear" w:color="auto" w:fill="auto"/>
                  <w:noWrap/>
                  <w:vAlign w:val="center"/>
                  <w:hideMark/>
                </w:tcPr>
                <w:p w:rsidR="00093CB9" w:rsidRPr="00C44ECA" w:rsidRDefault="00093CB9" w:rsidP="00093CB9">
                  <w:pPr>
                    <w:framePr w:hSpace="180" w:wrap="around" w:vAnchor="text" w:hAnchor="margin" w:y="-71"/>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69.26%</w:t>
                  </w:r>
                </w:p>
              </w:tc>
            </w:tr>
          </w:tbl>
          <w:p w:rsidR="00474BB6" w:rsidRPr="00CE5502" w:rsidRDefault="00474BB6" w:rsidP="00474BB6">
            <w:pPr>
              <w:jc w:val="center"/>
              <w:rPr>
                <w:rFonts w:ascii="Times New Roman" w:hAnsi="Times New Roman" w:cs="Times New Roman"/>
                <w:b/>
                <w:sz w:val="16"/>
                <w:szCs w:val="18"/>
              </w:rPr>
            </w:pPr>
          </w:p>
        </w:tc>
      </w:tr>
      <w:tr w:rsidR="00474BB6" w:rsidRPr="006D2F55" w:rsidTr="00474BB6">
        <w:tblPrEx>
          <w:tblCellMar>
            <w:left w:w="108" w:type="dxa"/>
            <w:right w:w="108" w:type="dxa"/>
          </w:tblCellMar>
        </w:tblPrEx>
        <w:trPr>
          <w:trHeight w:hRule="exact" w:val="298"/>
        </w:trPr>
        <w:tc>
          <w:tcPr>
            <w:tcW w:w="5575" w:type="dxa"/>
            <w:gridSpan w:val="2"/>
            <w:shd w:val="clear" w:color="auto" w:fill="0070C0"/>
            <w:vAlign w:val="center"/>
          </w:tcPr>
          <w:p w:rsidR="00474BB6" w:rsidRPr="00C84839" w:rsidRDefault="00474BB6" w:rsidP="00474BB6">
            <w:pPr>
              <w:tabs>
                <w:tab w:val="center" w:pos="2700"/>
                <w:tab w:val="left" w:pos="4236"/>
              </w:tabs>
              <w:rPr>
                <w:rFonts w:ascii="Times New Roman" w:hAnsi="Times New Roman" w:cs="Times New Roman"/>
                <w:b/>
                <w:color w:val="FFFFFF" w:themeColor="background1"/>
              </w:rPr>
            </w:pPr>
            <w:r w:rsidRPr="00C84839">
              <w:rPr>
                <w:rFonts w:ascii="Times New Roman" w:hAnsi="Times New Roman" w:cs="Times New Roman"/>
                <w:b/>
                <w:color w:val="FFFFFF" w:themeColor="background1"/>
              </w:rPr>
              <w:t>Ind</w:t>
            </w:r>
            <w:r>
              <w:rPr>
                <w:rFonts w:ascii="Times New Roman" w:hAnsi="Times New Roman" w:cs="Times New Roman"/>
                <w:b/>
                <w:color w:val="FFFFFF" w:themeColor="background1"/>
              </w:rPr>
              <w:t>ex</w:t>
            </w:r>
            <w:r w:rsidRPr="00C84839">
              <w:rPr>
                <w:rFonts w:ascii="Times New Roman" w:hAnsi="Times New Roman" w:cs="Times New Roman"/>
                <w:b/>
                <w:color w:val="FFFFFF" w:themeColor="background1"/>
              </w:rPr>
              <w:t xml:space="preserve"> Performance</w:t>
            </w:r>
          </w:p>
        </w:tc>
        <w:tc>
          <w:tcPr>
            <w:tcW w:w="5733" w:type="dxa"/>
            <w:gridSpan w:val="7"/>
            <w:vAlign w:val="center"/>
          </w:tcPr>
          <w:p w:rsidR="00474BB6" w:rsidRPr="006D2F55" w:rsidRDefault="00474BB6" w:rsidP="00474BB6">
            <w:pPr>
              <w:tabs>
                <w:tab w:val="center" w:pos="2700"/>
                <w:tab w:val="left" w:pos="4236"/>
              </w:tabs>
              <w:rPr>
                <w:rFonts w:ascii="Times New Roman" w:hAnsi="Times New Roman" w:cs="Times New Roman"/>
              </w:rPr>
            </w:pPr>
          </w:p>
        </w:tc>
      </w:tr>
      <w:tr w:rsidR="00474BB6" w:rsidRPr="006D2F55" w:rsidTr="00474BB6">
        <w:tblPrEx>
          <w:tblCellMar>
            <w:left w:w="108" w:type="dxa"/>
            <w:right w:w="108" w:type="dxa"/>
          </w:tblCellMar>
        </w:tblPrEx>
        <w:trPr>
          <w:trHeight w:hRule="exact" w:val="1099"/>
        </w:trPr>
        <w:tc>
          <w:tcPr>
            <w:tcW w:w="11308" w:type="dxa"/>
            <w:gridSpan w:val="9"/>
            <w:vAlign w:val="center"/>
          </w:tcPr>
          <w:tbl>
            <w:tblPr>
              <w:tblW w:w="10647" w:type="dxa"/>
              <w:jc w:val="center"/>
              <w:tblBorders>
                <w:top w:val="single" w:sz="12" w:space="0" w:color="0070C0"/>
                <w:bottom w:val="single" w:sz="12" w:space="0" w:color="0070C0"/>
                <w:insideH w:val="single" w:sz="12" w:space="0" w:color="0070C0"/>
              </w:tblBorders>
              <w:tblLayout w:type="fixed"/>
              <w:tblLook w:val="04A0" w:firstRow="1" w:lastRow="0" w:firstColumn="1" w:lastColumn="0" w:noHBand="0" w:noVBand="1"/>
            </w:tblPr>
            <w:tblGrid>
              <w:gridCol w:w="1139"/>
              <w:gridCol w:w="769"/>
              <w:gridCol w:w="654"/>
              <w:gridCol w:w="769"/>
              <w:gridCol w:w="839"/>
              <w:gridCol w:w="928"/>
              <w:gridCol w:w="928"/>
              <w:gridCol w:w="696"/>
              <w:gridCol w:w="767"/>
              <w:gridCol w:w="771"/>
              <w:gridCol w:w="1235"/>
              <w:gridCol w:w="1152"/>
            </w:tblGrid>
            <w:tr w:rsidR="00474BB6" w:rsidRPr="00252690" w:rsidTr="00E30240">
              <w:trPr>
                <w:trHeight w:val="268"/>
                <w:jc w:val="center"/>
              </w:trPr>
              <w:tc>
                <w:tcPr>
                  <w:tcW w:w="535" w:type="pct"/>
                  <w:tcBorders>
                    <w:right w:val="single" w:sz="12" w:space="0" w:color="0070C0"/>
                  </w:tcBorders>
                  <w:vAlign w:val="center"/>
                </w:tcPr>
                <w:p w:rsidR="00474BB6" w:rsidRPr="00C572C8" w:rsidRDefault="00474BB6" w:rsidP="00474BB6">
                  <w:pPr>
                    <w:framePr w:hSpace="180" w:wrap="around" w:vAnchor="text" w:hAnchor="margin" w:y="-71"/>
                    <w:spacing w:after="0" w:line="240" w:lineRule="auto"/>
                    <w:jc w:val="center"/>
                    <w:rPr>
                      <w:rFonts w:ascii="Times New Roman" w:eastAsia="Times New Roman" w:hAnsi="Times New Roman" w:cs="Times New Roman"/>
                      <w:sz w:val="16"/>
                      <w:szCs w:val="16"/>
                    </w:rPr>
                  </w:pPr>
                </w:p>
              </w:tc>
              <w:tc>
                <w:tcPr>
                  <w:tcW w:w="3344" w:type="pct"/>
                  <w:gridSpan w:val="9"/>
                  <w:tcBorders>
                    <w:left w:val="single" w:sz="12" w:space="0" w:color="0070C0"/>
                    <w:right w:val="single" w:sz="12" w:space="0" w:color="0070C0"/>
                  </w:tcBorders>
                  <w:shd w:val="clear" w:color="auto" w:fill="auto"/>
                  <w:noWrap/>
                  <w:vAlign w:val="center"/>
                  <w:hideMark/>
                </w:tcPr>
                <w:p w:rsidR="00474BB6" w:rsidRPr="00F26A05" w:rsidRDefault="00474BB6" w:rsidP="00474BB6">
                  <w:pPr>
                    <w:framePr w:hSpace="180" w:wrap="around" w:vAnchor="text" w:hAnchor="margin" w:y="-71"/>
                    <w:spacing w:after="0" w:line="240" w:lineRule="auto"/>
                    <w:jc w:val="center"/>
                    <w:rPr>
                      <w:rFonts w:ascii="Times New Roman" w:eastAsia="Times New Roman" w:hAnsi="Times New Roman" w:cs="Times New Roman"/>
                      <w:b/>
                      <w:bCs/>
                      <w:sz w:val="14"/>
                      <w:szCs w:val="14"/>
                    </w:rPr>
                  </w:pPr>
                  <w:r w:rsidRPr="00F26A05">
                    <w:rPr>
                      <w:rFonts w:ascii="Times New Roman" w:eastAsia="Times New Roman" w:hAnsi="Times New Roman" w:cs="Times New Roman"/>
                      <w:b/>
                      <w:bCs/>
                      <w:sz w:val="14"/>
                      <w:szCs w:val="14"/>
                    </w:rPr>
                    <w:t>Performance (%)</w:t>
                  </w:r>
                </w:p>
              </w:tc>
              <w:tc>
                <w:tcPr>
                  <w:tcW w:w="1121" w:type="pct"/>
                  <w:gridSpan w:val="2"/>
                  <w:tcBorders>
                    <w:left w:val="single" w:sz="12" w:space="0" w:color="0070C0"/>
                  </w:tcBorders>
                  <w:shd w:val="clear" w:color="auto" w:fill="auto"/>
                  <w:noWrap/>
                  <w:vAlign w:val="center"/>
                  <w:hideMark/>
                </w:tcPr>
                <w:p w:rsidR="00474BB6" w:rsidRPr="00F26A05" w:rsidRDefault="00474BB6" w:rsidP="00474BB6">
                  <w:pPr>
                    <w:framePr w:hSpace="180" w:wrap="around" w:vAnchor="text" w:hAnchor="margin" w:y="-71"/>
                    <w:spacing w:after="0" w:line="240" w:lineRule="auto"/>
                    <w:jc w:val="center"/>
                    <w:rPr>
                      <w:rFonts w:ascii="Times New Roman" w:eastAsia="Times New Roman" w:hAnsi="Times New Roman" w:cs="Times New Roman"/>
                      <w:b/>
                      <w:bCs/>
                      <w:sz w:val="14"/>
                      <w:szCs w:val="14"/>
                    </w:rPr>
                  </w:pPr>
                  <w:r w:rsidRPr="00F26A05">
                    <w:rPr>
                      <w:rFonts w:ascii="Times New Roman" w:eastAsia="Times New Roman" w:hAnsi="Times New Roman" w:cs="Times New Roman"/>
                      <w:b/>
                      <w:bCs/>
                      <w:sz w:val="14"/>
                      <w:szCs w:val="14"/>
                    </w:rPr>
                    <w:t>Annualized Performance (%)</w:t>
                  </w:r>
                </w:p>
              </w:tc>
            </w:tr>
            <w:tr w:rsidR="00474BB6" w:rsidRPr="00252690" w:rsidTr="00E30240">
              <w:trPr>
                <w:trHeight w:val="255"/>
                <w:jc w:val="center"/>
              </w:trPr>
              <w:tc>
                <w:tcPr>
                  <w:tcW w:w="535" w:type="pct"/>
                  <w:tcBorders>
                    <w:right w:val="single" w:sz="12" w:space="0" w:color="0070C0"/>
                  </w:tcBorders>
                  <w:vAlign w:val="center"/>
                </w:tcPr>
                <w:p w:rsidR="00474BB6" w:rsidRPr="001404C8" w:rsidRDefault="00474BB6" w:rsidP="00474BB6">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p>
              </w:tc>
              <w:tc>
                <w:tcPr>
                  <w:tcW w:w="361" w:type="pct"/>
                  <w:tcBorders>
                    <w:left w:val="single" w:sz="12" w:space="0" w:color="0070C0"/>
                  </w:tcBorders>
                  <w:shd w:val="clear" w:color="auto" w:fill="auto"/>
                  <w:noWrap/>
                  <w:vAlign w:val="center"/>
                  <w:hideMark/>
                </w:tcPr>
                <w:p w:rsidR="00474BB6" w:rsidRPr="0048469C" w:rsidRDefault="00474BB6" w:rsidP="00474BB6">
                  <w:pPr>
                    <w:framePr w:hSpace="180" w:wrap="around" w:vAnchor="text" w:hAnchor="margin" w:y="-71"/>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Pr>
                      <w:rFonts w:ascii="Times New Roman" w:eastAsia="Times New Roman" w:hAnsi="Times New Roman" w:cs="Times New Roman"/>
                      <w:b/>
                      <w:bCs/>
                      <w:sz w:val="14"/>
                      <w:szCs w:val="14"/>
                    </w:rPr>
                    <w:t>6</w:t>
                  </w:r>
                </w:p>
              </w:tc>
              <w:tc>
                <w:tcPr>
                  <w:tcW w:w="307" w:type="pct"/>
                  <w:shd w:val="clear" w:color="auto" w:fill="auto"/>
                  <w:noWrap/>
                  <w:vAlign w:val="center"/>
                  <w:hideMark/>
                </w:tcPr>
                <w:p w:rsidR="00474BB6" w:rsidRPr="0048469C" w:rsidRDefault="00474BB6" w:rsidP="00474BB6">
                  <w:pPr>
                    <w:framePr w:hSpace="180" w:wrap="around" w:vAnchor="text" w:hAnchor="margin" w:y="-71"/>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Pr>
                      <w:rFonts w:ascii="Times New Roman" w:eastAsia="Times New Roman" w:hAnsi="Times New Roman" w:cs="Times New Roman"/>
                      <w:b/>
                      <w:bCs/>
                      <w:sz w:val="14"/>
                      <w:szCs w:val="14"/>
                    </w:rPr>
                    <w:t>7</w:t>
                  </w:r>
                </w:p>
              </w:tc>
              <w:tc>
                <w:tcPr>
                  <w:tcW w:w="361" w:type="pct"/>
                  <w:tcBorders>
                    <w:right w:val="single" w:sz="12" w:space="0" w:color="0070C0"/>
                  </w:tcBorders>
                  <w:shd w:val="clear" w:color="auto" w:fill="auto"/>
                  <w:noWrap/>
                  <w:vAlign w:val="center"/>
                  <w:hideMark/>
                </w:tcPr>
                <w:p w:rsidR="00474BB6" w:rsidRPr="0048469C" w:rsidRDefault="00474BB6" w:rsidP="00474BB6">
                  <w:pPr>
                    <w:framePr w:hSpace="180" w:wrap="around" w:vAnchor="text" w:hAnchor="margin" w:y="-71"/>
                    <w:spacing w:after="0" w:line="240" w:lineRule="auto"/>
                    <w:jc w:val="center"/>
                    <w:rPr>
                      <w:rFonts w:ascii="Times New Roman" w:eastAsia="Times New Roman" w:hAnsi="Times New Roman" w:cs="Times New Roman"/>
                      <w:b/>
                      <w:bCs/>
                      <w:sz w:val="14"/>
                      <w:szCs w:val="14"/>
                    </w:rPr>
                  </w:pPr>
                  <w:r w:rsidRPr="0048469C">
                    <w:rPr>
                      <w:rFonts w:ascii="Times New Roman" w:eastAsia="Times New Roman" w:hAnsi="Times New Roman" w:cs="Times New Roman"/>
                      <w:b/>
                      <w:bCs/>
                      <w:sz w:val="14"/>
                      <w:szCs w:val="14"/>
                    </w:rPr>
                    <w:t>201</w:t>
                  </w:r>
                  <w:r>
                    <w:rPr>
                      <w:rFonts w:ascii="Times New Roman" w:eastAsia="Times New Roman" w:hAnsi="Times New Roman" w:cs="Times New Roman"/>
                      <w:b/>
                      <w:bCs/>
                      <w:sz w:val="14"/>
                      <w:szCs w:val="14"/>
                    </w:rPr>
                    <w:t>8</w:t>
                  </w:r>
                </w:p>
              </w:tc>
              <w:tc>
                <w:tcPr>
                  <w:tcW w:w="394" w:type="pct"/>
                  <w:tcBorders>
                    <w:left w:val="single" w:sz="12" w:space="0" w:color="0070C0"/>
                  </w:tcBorders>
                  <w:shd w:val="clear" w:color="auto" w:fill="auto"/>
                  <w:noWrap/>
                  <w:vAlign w:val="center"/>
                  <w:hideMark/>
                </w:tcPr>
                <w:p w:rsidR="00474BB6" w:rsidRPr="0048469C" w:rsidRDefault="00474BB6" w:rsidP="00474BB6">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Pr>
                      <w:rFonts w:ascii="Times New Roman" w:eastAsia="Times New Roman" w:hAnsi="Times New Roman" w:cs="Times New Roman"/>
                      <w:b/>
                      <w:bCs/>
                      <w:color w:val="000000"/>
                      <w:sz w:val="14"/>
                      <w:szCs w:val="16"/>
                    </w:rPr>
                    <w:t>1</w:t>
                  </w:r>
                  <w:r w:rsidRPr="0048469C">
                    <w:rPr>
                      <w:rFonts w:ascii="Times New Roman" w:eastAsia="Times New Roman" w:hAnsi="Times New Roman" w:cs="Times New Roman"/>
                      <w:b/>
                      <w:bCs/>
                      <w:color w:val="000000"/>
                      <w:sz w:val="14"/>
                      <w:szCs w:val="16"/>
                    </w:rPr>
                    <w:t xml:space="preserve"> month</w:t>
                  </w:r>
                </w:p>
              </w:tc>
              <w:tc>
                <w:tcPr>
                  <w:tcW w:w="436" w:type="pct"/>
                  <w:shd w:val="clear" w:color="auto" w:fill="auto"/>
                  <w:noWrap/>
                  <w:vAlign w:val="center"/>
                  <w:hideMark/>
                </w:tcPr>
                <w:p w:rsidR="00474BB6" w:rsidRPr="0048469C" w:rsidRDefault="00474BB6" w:rsidP="00474BB6">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months</w:t>
                  </w:r>
                </w:p>
              </w:tc>
              <w:tc>
                <w:tcPr>
                  <w:tcW w:w="436" w:type="pct"/>
                  <w:shd w:val="clear" w:color="auto" w:fill="auto"/>
                  <w:noWrap/>
                  <w:vAlign w:val="center"/>
                  <w:hideMark/>
                </w:tcPr>
                <w:p w:rsidR="00474BB6" w:rsidRPr="0048469C" w:rsidRDefault="00474BB6" w:rsidP="00474BB6">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6 months</w:t>
                  </w:r>
                </w:p>
              </w:tc>
              <w:tc>
                <w:tcPr>
                  <w:tcW w:w="327" w:type="pct"/>
                  <w:shd w:val="clear" w:color="auto" w:fill="auto"/>
                  <w:noWrap/>
                  <w:vAlign w:val="center"/>
                  <w:hideMark/>
                </w:tcPr>
                <w:p w:rsidR="00474BB6" w:rsidRPr="0048469C" w:rsidRDefault="00474BB6" w:rsidP="00474BB6">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1 year</w:t>
                  </w:r>
                </w:p>
              </w:tc>
              <w:tc>
                <w:tcPr>
                  <w:tcW w:w="360" w:type="pct"/>
                  <w:shd w:val="clear" w:color="auto" w:fill="auto"/>
                  <w:noWrap/>
                  <w:vAlign w:val="center"/>
                  <w:hideMark/>
                </w:tcPr>
                <w:p w:rsidR="00474BB6" w:rsidRPr="0048469C" w:rsidRDefault="00474BB6" w:rsidP="00474BB6">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years</w:t>
                  </w:r>
                </w:p>
              </w:tc>
              <w:tc>
                <w:tcPr>
                  <w:tcW w:w="362" w:type="pct"/>
                  <w:tcBorders>
                    <w:right w:val="single" w:sz="12" w:space="0" w:color="0070C0"/>
                  </w:tcBorders>
                  <w:shd w:val="clear" w:color="auto" w:fill="auto"/>
                  <w:noWrap/>
                  <w:vAlign w:val="center"/>
                  <w:hideMark/>
                </w:tcPr>
                <w:p w:rsidR="00474BB6" w:rsidRPr="0048469C" w:rsidRDefault="00474BB6" w:rsidP="00474BB6">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5 years</w:t>
                  </w:r>
                </w:p>
              </w:tc>
              <w:tc>
                <w:tcPr>
                  <w:tcW w:w="580" w:type="pct"/>
                  <w:tcBorders>
                    <w:left w:val="single" w:sz="12" w:space="0" w:color="0070C0"/>
                  </w:tcBorders>
                  <w:shd w:val="clear" w:color="auto" w:fill="auto"/>
                  <w:noWrap/>
                  <w:vAlign w:val="center"/>
                  <w:hideMark/>
                </w:tcPr>
                <w:p w:rsidR="00474BB6" w:rsidRPr="0048469C" w:rsidRDefault="00474BB6" w:rsidP="00474BB6">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3 years</w:t>
                  </w:r>
                </w:p>
              </w:tc>
              <w:tc>
                <w:tcPr>
                  <w:tcW w:w="541" w:type="pct"/>
                  <w:shd w:val="clear" w:color="auto" w:fill="auto"/>
                  <w:noWrap/>
                  <w:vAlign w:val="center"/>
                  <w:hideMark/>
                </w:tcPr>
                <w:p w:rsidR="00474BB6" w:rsidRPr="0048469C" w:rsidRDefault="00474BB6" w:rsidP="00474BB6">
                  <w:pPr>
                    <w:framePr w:hSpace="180" w:wrap="around" w:vAnchor="text" w:hAnchor="margin" w:y="-71"/>
                    <w:spacing w:after="0" w:line="240" w:lineRule="auto"/>
                    <w:jc w:val="center"/>
                    <w:rPr>
                      <w:rFonts w:ascii="Times New Roman" w:eastAsia="Times New Roman" w:hAnsi="Times New Roman" w:cs="Times New Roman"/>
                      <w:b/>
                      <w:bCs/>
                      <w:color w:val="000000"/>
                      <w:sz w:val="14"/>
                      <w:szCs w:val="16"/>
                    </w:rPr>
                  </w:pPr>
                  <w:r w:rsidRPr="0048469C">
                    <w:rPr>
                      <w:rFonts w:ascii="Times New Roman" w:eastAsia="Times New Roman" w:hAnsi="Times New Roman" w:cs="Times New Roman"/>
                      <w:b/>
                      <w:bCs/>
                      <w:color w:val="000000"/>
                      <w:sz w:val="14"/>
                      <w:szCs w:val="16"/>
                    </w:rPr>
                    <w:t>5 years</w:t>
                  </w:r>
                </w:p>
              </w:tc>
            </w:tr>
            <w:tr w:rsidR="00093CB9" w:rsidRPr="00252690" w:rsidTr="00E30240">
              <w:trPr>
                <w:trHeight w:val="274"/>
                <w:jc w:val="center"/>
              </w:trPr>
              <w:tc>
                <w:tcPr>
                  <w:tcW w:w="535" w:type="pct"/>
                  <w:tcBorders>
                    <w:right w:val="single" w:sz="12" w:space="0" w:color="0070C0"/>
                  </w:tcBorders>
                  <w:vAlign w:val="center"/>
                </w:tcPr>
                <w:p w:rsidR="00093CB9" w:rsidRPr="001404C8" w:rsidRDefault="00093CB9" w:rsidP="00093CB9">
                  <w:pPr>
                    <w:framePr w:hSpace="180" w:wrap="around" w:vAnchor="text" w:hAnchor="margin" w:y="-71"/>
                    <w:spacing w:after="0" w:line="240" w:lineRule="auto"/>
                    <w:jc w:val="center"/>
                    <w:rPr>
                      <w:rFonts w:ascii="Times New Roman" w:eastAsia="Times New Roman" w:hAnsi="Times New Roman" w:cs="Times New Roman"/>
                      <w:b/>
                      <w:bCs/>
                      <w:color w:val="000000"/>
                      <w:sz w:val="14"/>
                      <w:szCs w:val="14"/>
                    </w:rPr>
                  </w:pPr>
                  <w:proofErr w:type="spellStart"/>
                  <w:r w:rsidRPr="00763C82">
                    <w:rPr>
                      <w:rFonts w:ascii="Times New Roman" w:eastAsia="Times New Roman" w:hAnsi="Times New Roman" w:cs="Times New Roman"/>
                      <w:b/>
                      <w:bCs/>
                      <w:color w:val="000000"/>
                      <w:sz w:val="14"/>
                      <w:szCs w:val="14"/>
                    </w:rPr>
                    <w:t>VN</w:t>
                  </w:r>
                  <w:r>
                    <w:rPr>
                      <w:rFonts w:ascii="Times New Roman" w:eastAsia="Times New Roman" w:hAnsi="Times New Roman" w:cs="Times New Roman"/>
                      <w:b/>
                      <w:bCs/>
                      <w:color w:val="000000"/>
                      <w:sz w:val="14"/>
                      <w:szCs w:val="14"/>
                    </w:rPr>
                    <w:t>Smallcap</w:t>
                  </w:r>
                  <w:proofErr w:type="spellEnd"/>
                </w:p>
              </w:tc>
              <w:tc>
                <w:tcPr>
                  <w:tcW w:w="361" w:type="pct"/>
                  <w:tcBorders>
                    <w:left w:val="single" w:sz="12" w:space="0" w:color="0070C0"/>
                  </w:tcBorders>
                  <w:shd w:val="clear" w:color="auto" w:fill="auto"/>
                  <w:noWrap/>
                  <w:vAlign w:val="center"/>
                  <w:hideMark/>
                </w:tcPr>
                <w:p w:rsidR="00093CB9" w:rsidRPr="0011453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11453A">
                    <w:rPr>
                      <w:rFonts w:ascii="Times New Roman" w:hAnsi="Times New Roman" w:cs="Times New Roman"/>
                      <w:color w:val="000000"/>
                      <w:sz w:val="14"/>
                      <w:szCs w:val="14"/>
                    </w:rPr>
                    <w:t>8.94%</w:t>
                  </w:r>
                </w:p>
              </w:tc>
              <w:tc>
                <w:tcPr>
                  <w:tcW w:w="307" w:type="pct"/>
                  <w:shd w:val="clear" w:color="auto" w:fill="auto"/>
                  <w:noWrap/>
                  <w:vAlign w:val="center"/>
                  <w:hideMark/>
                </w:tcPr>
                <w:p w:rsidR="00093CB9" w:rsidRPr="0011453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11453A">
                    <w:rPr>
                      <w:rFonts w:ascii="Times New Roman" w:hAnsi="Times New Roman" w:cs="Times New Roman"/>
                      <w:color w:val="000000"/>
                      <w:sz w:val="14"/>
                      <w:szCs w:val="14"/>
                    </w:rPr>
                    <w:t>22.54%</w:t>
                  </w:r>
                </w:p>
              </w:tc>
              <w:tc>
                <w:tcPr>
                  <w:tcW w:w="361" w:type="pct"/>
                  <w:tcBorders>
                    <w:right w:val="single" w:sz="12" w:space="0" w:color="0070C0"/>
                  </w:tcBorders>
                  <w:shd w:val="clear" w:color="auto" w:fill="auto"/>
                  <w:noWrap/>
                  <w:vAlign w:val="center"/>
                  <w:hideMark/>
                </w:tcPr>
                <w:p w:rsidR="00093CB9" w:rsidRPr="0011453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11453A">
                    <w:rPr>
                      <w:rFonts w:ascii="Times New Roman" w:hAnsi="Times New Roman" w:cs="Times New Roman"/>
                      <w:color w:val="000000"/>
                      <w:sz w:val="14"/>
                      <w:szCs w:val="14"/>
                    </w:rPr>
                    <w:t>-15.81%</w:t>
                  </w:r>
                </w:p>
              </w:tc>
              <w:tc>
                <w:tcPr>
                  <w:tcW w:w="394" w:type="pct"/>
                  <w:tcBorders>
                    <w:left w:val="single" w:sz="12" w:space="0" w:color="0070C0"/>
                  </w:tcBorders>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-1.41%</w:t>
                  </w:r>
                </w:p>
              </w:tc>
              <w:tc>
                <w:tcPr>
                  <w:tcW w:w="436" w:type="pct"/>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2.92%</w:t>
                  </w:r>
                </w:p>
              </w:tc>
              <w:tc>
                <w:tcPr>
                  <w:tcW w:w="436" w:type="pct"/>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1.33%</w:t>
                  </w:r>
                </w:p>
              </w:tc>
              <w:tc>
                <w:tcPr>
                  <w:tcW w:w="327" w:type="pct"/>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-2.01%</w:t>
                  </w:r>
                </w:p>
              </w:tc>
              <w:tc>
                <w:tcPr>
                  <w:tcW w:w="360" w:type="pct"/>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6.89%</w:t>
                  </w:r>
                </w:p>
              </w:tc>
              <w:tc>
                <w:tcPr>
                  <w:tcW w:w="362" w:type="pct"/>
                  <w:tcBorders>
                    <w:right w:val="single" w:sz="12" w:space="0" w:color="0070C0"/>
                  </w:tcBorders>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41.05%</w:t>
                  </w:r>
                </w:p>
              </w:tc>
              <w:tc>
                <w:tcPr>
                  <w:tcW w:w="580" w:type="pct"/>
                  <w:tcBorders>
                    <w:left w:val="single" w:sz="12" w:space="0" w:color="0070C0"/>
                  </w:tcBorders>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2.25%</w:t>
                  </w:r>
                </w:p>
              </w:tc>
              <w:tc>
                <w:tcPr>
                  <w:tcW w:w="541" w:type="pct"/>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7.12%</w:t>
                  </w:r>
                </w:p>
              </w:tc>
            </w:tr>
          </w:tbl>
          <w:p w:rsidR="00474BB6" w:rsidRPr="006D2F55" w:rsidRDefault="00474BB6" w:rsidP="00474BB6">
            <w:pPr>
              <w:jc w:val="center"/>
              <w:rPr>
                <w:rFonts w:ascii="Arial" w:eastAsia="Times New Roman" w:hAnsi="Arial" w:cs="Arial"/>
                <w:color w:val="000000"/>
                <w:sz w:val="24"/>
                <w:szCs w:val="24"/>
              </w:rPr>
            </w:pPr>
          </w:p>
        </w:tc>
      </w:tr>
      <w:tr w:rsidR="00474BB6" w:rsidRPr="006D2F55" w:rsidTr="00474BB6">
        <w:tblPrEx>
          <w:tblCellMar>
            <w:left w:w="108" w:type="dxa"/>
            <w:right w:w="108" w:type="dxa"/>
          </w:tblCellMar>
        </w:tblPrEx>
        <w:trPr>
          <w:trHeight w:val="298"/>
        </w:trPr>
        <w:tc>
          <w:tcPr>
            <w:tcW w:w="5575" w:type="dxa"/>
            <w:gridSpan w:val="2"/>
            <w:shd w:val="clear" w:color="auto" w:fill="0070C0"/>
            <w:vAlign w:val="center"/>
          </w:tcPr>
          <w:p w:rsidR="00474BB6" w:rsidRPr="006D2F55" w:rsidRDefault="00474BB6" w:rsidP="00474BB6">
            <w:pPr>
              <w:rPr>
                <w:rFonts w:ascii="Times New Roman" w:eastAsia="Times New Roman" w:hAnsi="Times New Roman" w:cs="Times New Roman"/>
              </w:rPr>
            </w:pPr>
            <w:r>
              <w:rPr>
                <w:rFonts w:ascii="Times New Roman" w:hAnsi="Times New Roman" w:cs="Times New Roman"/>
                <w:b/>
                <w:color w:val="FFFFFF" w:themeColor="background1"/>
              </w:rPr>
              <w:t>Sector Breakdown</w:t>
            </w:r>
          </w:p>
        </w:tc>
        <w:tc>
          <w:tcPr>
            <w:tcW w:w="5733" w:type="dxa"/>
            <w:gridSpan w:val="7"/>
            <w:shd w:val="clear" w:color="auto" w:fill="0070C0"/>
            <w:vAlign w:val="center"/>
          </w:tcPr>
          <w:p w:rsidR="00474BB6" w:rsidRPr="006D2F55" w:rsidRDefault="00474BB6" w:rsidP="00474BB6">
            <w:pPr>
              <w:rPr>
                <w:rFonts w:ascii="Times New Roman" w:eastAsia="Times New Roman" w:hAnsi="Times New Roman" w:cs="Times New Roman"/>
              </w:rPr>
            </w:pPr>
            <w:r w:rsidRPr="0006583E">
              <w:rPr>
                <w:rFonts w:ascii="Times New Roman" w:eastAsia="Times New Roman" w:hAnsi="Times New Roman" w:cs="Times New Roman"/>
                <w:b/>
                <w:color w:val="FFFFFF" w:themeColor="background1"/>
                <w:szCs w:val="12"/>
              </w:rPr>
              <w:t>Top-10 Constituents of Market Capitalization</w:t>
            </w:r>
          </w:p>
        </w:tc>
      </w:tr>
      <w:tr w:rsidR="00474BB6" w:rsidRPr="006D2F55" w:rsidTr="00363083">
        <w:tblPrEx>
          <w:tblCellMar>
            <w:left w:w="108" w:type="dxa"/>
            <w:right w:w="108" w:type="dxa"/>
          </w:tblCellMar>
        </w:tblPrEx>
        <w:trPr>
          <w:trHeight w:hRule="exact" w:val="4303"/>
        </w:trPr>
        <w:tc>
          <w:tcPr>
            <w:tcW w:w="5575" w:type="dxa"/>
            <w:gridSpan w:val="2"/>
          </w:tcPr>
          <w:p w:rsidR="00474BB6" w:rsidRPr="006D2F55" w:rsidRDefault="001D5280" w:rsidP="00474BB6">
            <w:pPr>
              <w:jc w:val="center"/>
              <w:rPr>
                <w:rFonts w:ascii="Arial" w:eastAsia="Times New Roman" w:hAnsi="Arial" w:cs="Arial"/>
              </w:rPr>
            </w:pPr>
            <w:r>
              <w:rPr>
                <w:rFonts w:ascii="Arial" w:eastAsia="Times New Roman" w:hAnsi="Arial" w:cs="Arial"/>
                <w:noProof/>
              </w:rPr>
              <w:drawing>
                <wp:inline distT="0" distB="0" distL="0" distR="0" wp14:anchorId="52FE4E27">
                  <wp:extent cx="3474720" cy="262763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4720" cy="2627630"/>
                          </a:xfrm>
                          <a:prstGeom prst="rect">
                            <a:avLst/>
                          </a:prstGeom>
                          <a:noFill/>
                        </pic:spPr>
                      </pic:pic>
                    </a:graphicData>
                  </a:graphic>
                </wp:inline>
              </w:drawing>
            </w:r>
            <w:r w:rsidR="00363083">
              <w:rPr>
                <w:noProof/>
              </w:rPr>
              <w:drawing>
                <wp:inline distT="0" distB="0" distL="0" distR="0" wp14:anchorId="57B86AE9" wp14:editId="06C610D4">
                  <wp:extent cx="3402965" cy="2574290"/>
                  <wp:effectExtent l="0" t="0" r="6985" b="0"/>
                  <wp:docPr id="9" name="Chart 9">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733" w:type="dxa"/>
            <w:gridSpan w:val="7"/>
            <w:vMerge w:val="restart"/>
          </w:tcPr>
          <w:tbl>
            <w:tblPr>
              <w:tblpPr w:leftFromText="180" w:rightFromText="180" w:vertAnchor="page" w:horzAnchor="margin" w:tblpXSpec="center" w:tblpY="128"/>
              <w:tblOverlap w:val="never"/>
              <w:tblW w:w="4925"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434"/>
              <w:gridCol w:w="566"/>
              <w:gridCol w:w="1545"/>
              <w:gridCol w:w="1649"/>
              <w:gridCol w:w="731"/>
            </w:tblGrid>
            <w:tr w:rsidR="00474BB6" w:rsidRPr="00BB4F59" w:rsidTr="00E30240">
              <w:trPr>
                <w:trHeight w:val="352"/>
              </w:trPr>
              <w:tc>
                <w:tcPr>
                  <w:tcW w:w="434" w:type="dxa"/>
                  <w:shd w:val="clear" w:color="auto" w:fill="auto"/>
                  <w:noWrap/>
                  <w:vAlign w:val="center"/>
                  <w:hideMark/>
                </w:tcPr>
                <w:p w:rsidR="00474BB6" w:rsidRPr="002F4991" w:rsidRDefault="00474BB6" w:rsidP="00474BB6">
                  <w:pPr>
                    <w:spacing w:after="0" w:line="240" w:lineRule="auto"/>
                    <w:jc w:val="center"/>
                    <w:rPr>
                      <w:rFonts w:ascii="Times New Roman" w:eastAsia="Times New Roman" w:hAnsi="Times New Roman" w:cs="Times New Roman"/>
                      <w:b/>
                      <w:bCs/>
                      <w:color w:val="000000"/>
                      <w:sz w:val="14"/>
                      <w:szCs w:val="14"/>
                    </w:rPr>
                  </w:pPr>
                </w:p>
              </w:tc>
              <w:tc>
                <w:tcPr>
                  <w:tcW w:w="566" w:type="dxa"/>
                  <w:shd w:val="clear" w:color="auto" w:fill="auto"/>
                  <w:noWrap/>
                  <w:vAlign w:val="center"/>
                  <w:hideMark/>
                </w:tcPr>
                <w:p w:rsidR="00474BB6" w:rsidRPr="007F1789" w:rsidRDefault="00474BB6" w:rsidP="00474BB6">
                  <w:pPr>
                    <w:spacing w:after="0" w:line="240" w:lineRule="auto"/>
                    <w:ind w:right="-53"/>
                    <w:jc w:val="center"/>
                    <w:rPr>
                      <w:rFonts w:ascii="Times New Roman" w:eastAsia="Times New Roman" w:hAnsi="Times New Roman" w:cs="Times New Roman"/>
                      <w:b/>
                      <w:bCs/>
                      <w:color w:val="000000"/>
                      <w:sz w:val="14"/>
                      <w:szCs w:val="14"/>
                    </w:rPr>
                  </w:pPr>
                  <w:r w:rsidRPr="007F1789">
                    <w:rPr>
                      <w:rFonts w:ascii="Times New Roman" w:eastAsia="Times New Roman" w:hAnsi="Times New Roman" w:cs="Times New Roman"/>
                      <w:b/>
                      <w:bCs/>
                      <w:color w:val="000000"/>
                      <w:sz w:val="14"/>
                      <w:szCs w:val="14"/>
                    </w:rPr>
                    <w:t>Stock</w:t>
                  </w:r>
                </w:p>
              </w:tc>
              <w:tc>
                <w:tcPr>
                  <w:tcW w:w="1545" w:type="dxa"/>
                  <w:shd w:val="clear" w:color="auto" w:fill="auto"/>
                  <w:noWrap/>
                  <w:vAlign w:val="center"/>
                  <w:hideMark/>
                </w:tcPr>
                <w:p w:rsidR="00474BB6" w:rsidRPr="007F1789" w:rsidRDefault="00474BB6" w:rsidP="00474BB6">
                  <w:pPr>
                    <w:spacing w:after="0" w:line="240" w:lineRule="auto"/>
                    <w:jc w:val="center"/>
                    <w:rPr>
                      <w:rFonts w:ascii="Times New Roman" w:eastAsia="Times New Roman" w:hAnsi="Times New Roman" w:cs="Times New Roman"/>
                      <w:b/>
                      <w:bCs/>
                      <w:color w:val="000000"/>
                      <w:sz w:val="14"/>
                      <w:szCs w:val="14"/>
                    </w:rPr>
                  </w:pPr>
                  <w:r w:rsidRPr="007F1789">
                    <w:rPr>
                      <w:rFonts w:ascii="Times New Roman" w:eastAsia="Times New Roman" w:hAnsi="Times New Roman" w:cs="Times New Roman"/>
                      <w:b/>
                      <w:bCs/>
                      <w:color w:val="000000"/>
                      <w:sz w:val="14"/>
                      <w:szCs w:val="14"/>
                    </w:rPr>
                    <w:t>Sector</w:t>
                  </w:r>
                </w:p>
              </w:tc>
              <w:tc>
                <w:tcPr>
                  <w:tcW w:w="1649" w:type="dxa"/>
                  <w:shd w:val="clear" w:color="auto" w:fill="auto"/>
                  <w:noWrap/>
                  <w:vAlign w:val="center"/>
                  <w:hideMark/>
                </w:tcPr>
                <w:p w:rsidR="00474BB6" w:rsidRPr="007F1789" w:rsidRDefault="00474BB6" w:rsidP="00474BB6">
                  <w:pPr>
                    <w:spacing w:after="0" w:line="240" w:lineRule="auto"/>
                    <w:jc w:val="center"/>
                    <w:rPr>
                      <w:rFonts w:ascii="Times New Roman" w:eastAsia="Times New Roman" w:hAnsi="Times New Roman" w:cs="Times New Roman"/>
                      <w:b/>
                      <w:bCs/>
                      <w:color w:val="000000"/>
                      <w:sz w:val="14"/>
                      <w:szCs w:val="14"/>
                    </w:rPr>
                  </w:pPr>
                  <w:r>
                    <w:rPr>
                      <w:rFonts w:ascii="Times New Roman" w:eastAsia="Times New Roman" w:hAnsi="Times New Roman" w:cs="Times New Roman"/>
                      <w:b/>
                      <w:bCs/>
                      <w:color w:val="000000"/>
                      <w:sz w:val="14"/>
                      <w:szCs w:val="14"/>
                    </w:rPr>
                    <w:t>Free-</w:t>
                  </w:r>
                  <w:r w:rsidRPr="007F1789">
                    <w:rPr>
                      <w:rFonts w:ascii="Times New Roman" w:eastAsia="Times New Roman" w:hAnsi="Times New Roman" w:cs="Times New Roman"/>
                      <w:b/>
                      <w:bCs/>
                      <w:color w:val="000000"/>
                      <w:sz w:val="14"/>
                      <w:szCs w:val="14"/>
                    </w:rPr>
                    <w:t>float adjusted market-cap (</w:t>
                  </w:r>
                  <w:r>
                    <w:rPr>
                      <w:rFonts w:ascii="Times New Roman" w:eastAsia="Times New Roman" w:hAnsi="Times New Roman" w:cs="Times New Roman"/>
                      <w:b/>
                      <w:bCs/>
                      <w:color w:val="000000"/>
                      <w:sz w:val="14"/>
                      <w:szCs w:val="14"/>
                    </w:rPr>
                    <w:t>Billion VND</w:t>
                  </w:r>
                  <w:r w:rsidRPr="007F1789">
                    <w:rPr>
                      <w:rFonts w:ascii="Times New Roman" w:eastAsia="Times New Roman" w:hAnsi="Times New Roman" w:cs="Times New Roman"/>
                      <w:b/>
                      <w:bCs/>
                      <w:color w:val="000000"/>
                      <w:sz w:val="14"/>
                      <w:szCs w:val="14"/>
                    </w:rPr>
                    <w:t>)</w:t>
                  </w:r>
                </w:p>
              </w:tc>
              <w:tc>
                <w:tcPr>
                  <w:tcW w:w="731" w:type="dxa"/>
                  <w:shd w:val="clear" w:color="auto" w:fill="auto"/>
                  <w:noWrap/>
                  <w:vAlign w:val="center"/>
                  <w:hideMark/>
                </w:tcPr>
                <w:p w:rsidR="00474BB6" w:rsidRPr="007F1789" w:rsidRDefault="00474BB6" w:rsidP="00474BB6">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Weight</w:t>
                  </w:r>
                </w:p>
                <w:p w:rsidR="00474BB6" w:rsidRPr="007F1789" w:rsidRDefault="00474BB6" w:rsidP="00474BB6">
                  <w:pPr>
                    <w:spacing w:after="0" w:line="240" w:lineRule="auto"/>
                    <w:jc w:val="center"/>
                    <w:rPr>
                      <w:rFonts w:ascii="Times New Roman" w:eastAsia="Times New Roman" w:hAnsi="Times New Roman" w:cs="Times New Roman"/>
                      <w:b/>
                      <w:bCs/>
                      <w:color w:val="000000"/>
                      <w:sz w:val="14"/>
                      <w:szCs w:val="14"/>
                    </w:rPr>
                  </w:pPr>
                  <w:r w:rsidRPr="007F1789">
                    <w:rPr>
                      <w:rFonts w:ascii="Times New Roman" w:eastAsia="Times New Roman" w:hAnsi="Times New Roman" w:cs="Times New Roman"/>
                      <w:b/>
                      <w:sz w:val="14"/>
                      <w:szCs w:val="14"/>
                    </w:rPr>
                    <w:t>(%)</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1</w:t>
                  </w:r>
                </w:p>
              </w:tc>
              <w:tc>
                <w:tcPr>
                  <w:tcW w:w="56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DBD</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Health Care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1,835</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4.10%</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2</w:t>
                  </w:r>
                </w:p>
              </w:tc>
              <w:tc>
                <w:tcPr>
                  <w:tcW w:w="56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DHC</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Materials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1,030</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2.30%</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3</w:t>
                  </w:r>
                </w:p>
              </w:tc>
              <w:tc>
                <w:tcPr>
                  <w:tcW w:w="56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DPG</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Industrials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978</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2.18%</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4</w:t>
                  </w:r>
                </w:p>
              </w:tc>
              <w:tc>
                <w:tcPr>
                  <w:tcW w:w="56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TCM</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Consumer Discretionary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945</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2.11%</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5</w:t>
                  </w:r>
                </w:p>
              </w:tc>
              <w:tc>
                <w:tcPr>
                  <w:tcW w:w="56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FTS</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Financials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913</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2.04%</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6</w:t>
                  </w:r>
                </w:p>
              </w:tc>
              <w:tc>
                <w:tcPr>
                  <w:tcW w:w="56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LCG</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Industrials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904</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2.02%</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7</w:t>
                  </w:r>
                </w:p>
              </w:tc>
              <w:tc>
                <w:tcPr>
                  <w:tcW w:w="56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TDH</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Real Estate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889</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1.99%</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8</w:t>
                  </w:r>
                </w:p>
              </w:tc>
              <w:tc>
                <w:tcPr>
                  <w:tcW w:w="56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STK</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Consumer Discretionary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865</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1.93%</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9</w:t>
                  </w:r>
                </w:p>
              </w:tc>
              <w:tc>
                <w:tcPr>
                  <w:tcW w:w="56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VNG</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Consumer Discretionary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854</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1.91%</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r w:rsidRPr="00763C82">
                    <w:rPr>
                      <w:rFonts w:ascii="Times New Roman" w:eastAsia="Times New Roman" w:hAnsi="Times New Roman" w:cs="Times New Roman"/>
                      <w:color w:val="000000"/>
                      <w:sz w:val="14"/>
                      <w:szCs w:val="14"/>
                    </w:rPr>
                    <w:t>10</w:t>
                  </w:r>
                </w:p>
              </w:tc>
              <w:tc>
                <w:tcPr>
                  <w:tcW w:w="566"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VRC</w:t>
                  </w:r>
                </w:p>
              </w:tc>
              <w:tc>
                <w:tcPr>
                  <w:tcW w:w="1545"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 xml:space="preserve"> Industrials </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835</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r w:rsidRPr="00C44ECA">
                    <w:rPr>
                      <w:rFonts w:ascii="Times New Roman" w:hAnsi="Times New Roman" w:cs="Times New Roman"/>
                      <w:color w:val="000000"/>
                      <w:sz w:val="14"/>
                      <w:szCs w:val="14"/>
                    </w:rPr>
                    <w:t>1.87%</w:t>
                  </w:r>
                </w:p>
              </w:tc>
            </w:tr>
            <w:tr w:rsidR="00093CB9" w:rsidRPr="00BB4F59" w:rsidTr="00E30240">
              <w:trPr>
                <w:trHeight w:val="343"/>
              </w:trPr>
              <w:tc>
                <w:tcPr>
                  <w:tcW w:w="434" w:type="dxa"/>
                  <w:shd w:val="clear" w:color="auto" w:fill="auto"/>
                  <w:noWrap/>
                  <w:vAlign w:val="center"/>
                  <w:hideMark/>
                </w:tcPr>
                <w:p w:rsidR="00093CB9" w:rsidRPr="00C572C8" w:rsidRDefault="00093CB9" w:rsidP="00093CB9">
                  <w:pPr>
                    <w:spacing w:after="0" w:line="240" w:lineRule="auto"/>
                    <w:jc w:val="center"/>
                    <w:rPr>
                      <w:rFonts w:ascii="Times New Roman" w:eastAsia="Times New Roman" w:hAnsi="Times New Roman" w:cs="Times New Roman"/>
                      <w:color w:val="000000"/>
                      <w:sz w:val="14"/>
                      <w:szCs w:val="14"/>
                    </w:rPr>
                  </w:pPr>
                </w:p>
              </w:tc>
              <w:tc>
                <w:tcPr>
                  <w:tcW w:w="566" w:type="dxa"/>
                  <w:shd w:val="clear" w:color="auto" w:fill="auto"/>
                  <w:noWrap/>
                  <w:vAlign w:val="center"/>
                  <w:hideMark/>
                </w:tcPr>
                <w:p w:rsidR="00093CB9" w:rsidRDefault="00093CB9" w:rsidP="00093CB9">
                  <w:pPr>
                    <w:autoSpaceDE w:val="0"/>
                    <w:autoSpaceDN w:val="0"/>
                    <w:adjustRightInd w:val="0"/>
                    <w:spacing w:after="0" w:line="240" w:lineRule="auto"/>
                    <w:jc w:val="center"/>
                    <w:rPr>
                      <w:rFonts w:ascii="Times New Roman" w:hAnsi="Times New Roman" w:cs="Times New Roman"/>
                      <w:color w:val="000000"/>
                      <w:sz w:val="14"/>
                      <w:szCs w:val="14"/>
                    </w:rPr>
                  </w:pPr>
                </w:p>
              </w:tc>
              <w:tc>
                <w:tcPr>
                  <w:tcW w:w="1545" w:type="dxa"/>
                  <w:shd w:val="clear" w:color="auto" w:fill="auto"/>
                  <w:noWrap/>
                  <w:vAlign w:val="center"/>
                  <w:hideMark/>
                </w:tcPr>
                <w:p w:rsidR="00093CB9" w:rsidRDefault="00093CB9" w:rsidP="00093CB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Total</w:t>
                  </w:r>
                </w:p>
              </w:tc>
              <w:tc>
                <w:tcPr>
                  <w:tcW w:w="1649"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b/>
                      <w:bCs/>
                      <w:color w:val="000000"/>
                      <w:sz w:val="14"/>
                      <w:szCs w:val="14"/>
                    </w:rPr>
                  </w:pPr>
                  <w:r w:rsidRPr="00C44ECA">
                    <w:rPr>
                      <w:rFonts w:ascii="Times New Roman" w:hAnsi="Times New Roman" w:cs="Times New Roman"/>
                      <w:b/>
                      <w:bCs/>
                      <w:color w:val="000000"/>
                      <w:sz w:val="14"/>
                      <w:szCs w:val="14"/>
                    </w:rPr>
                    <w:t>10,047</w:t>
                  </w:r>
                </w:p>
              </w:tc>
              <w:tc>
                <w:tcPr>
                  <w:tcW w:w="731" w:type="dxa"/>
                  <w:shd w:val="clear" w:color="auto" w:fill="auto"/>
                  <w:noWrap/>
                  <w:vAlign w:val="center"/>
                  <w:hideMark/>
                </w:tcPr>
                <w:p w:rsidR="00093CB9" w:rsidRPr="00C44ECA" w:rsidRDefault="00093CB9" w:rsidP="00093CB9">
                  <w:pPr>
                    <w:autoSpaceDE w:val="0"/>
                    <w:autoSpaceDN w:val="0"/>
                    <w:adjustRightInd w:val="0"/>
                    <w:spacing w:after="0" w:line="240" w:lineRule="auto"/>
                    <w:jc w:val="center"/>
                    <w:rPr>
                      <w:rFonts w:ascii="Times New Roman" w:hAnsi="Times New Roman" w:cs="Times New Roman"/>
                      <w:b/>
                      <w:bCs/>
                      <w:color w:val="000000"/>
                      <w:sz w:val="14"/>
                      <w:szCs w:val="14"/>
                    </w:rPr>
                  </w:pPr>
                  <w:r w:rsidRPr="00C44ECA">
                    <w:rPr>
                      <w:rFonts w:ascii="Times New Roman" w:hAnsi="Times New Roman" w:cs="Times New Roman"/>
                      <w:b/>
                      <w:bCs/>
                      <w:color w:val="000000"/>
                      <w:sz w:val="14"/>
                      <w:szCs w:val="14"/>
                    </w:rPr>
                    <w:t>22.45%</w:t>
                  </w:r>
                </w:p>
              </w:tc>
            </w:tr>
          </w:tbl>
          <w:p w:rsidR="00474BB6" w:rsidRDefault="00474BB6" w:rsidP="00474BB6">
            <w:pPr>
              <w:rPr>
                <w:rFonts w:ascii="Arial" w:eastAsia="Times New Roman" w:hAnsi="Arial" w:cs="Arial"/>
              </w:rPr>
            </w:pPr>
          </w:p>
          <w:tbl>
            <w:tblPr>
              <w:tblStyle w:val="TableGrid"/>
              <w:tblW w:w="0" w:type="auto"/>
              <w:tblLayout w:type="fixed"/>
              <w:tblLook w:val="04A0" w:firstRow="1" w:lastRow="0" w:firstColumn="1" w:lastColumn="0" w:noHBand="0" w:noVBand="1"/>
            </w:tblPr>
            <w:tblGrid>
              <w:gridCol w:w="4985"/>
            </w:tblGrid>
            <w:tr w:rsidR="00474BB6" w:rsidTr="00E30240">
              <w:trPr>
                <w:trHeight w:val="1884"/>
              </w:trPr>
              <w:tc>
                <w:tcPr>
                  <w:tcW w:w="4985" w:type="dxa"/>
                </w:tcPr>
                <w:p w:rsidR="00474BB6" w:rsidRPr="00022FED" w:rsidRDefault="00474BB6" w:rsidP="0074250D">
                  <w:pPr>
                    <w:framePr w:hSpace="180" w:wrap="around" w:vAnchor="text" w:hAnchor="margin" w:y="-71"/>
                    <w:jc w:val="both"/>
                    <w:rPr>
                      <w:rFonts w:ascii="Times New Roman" w:hAnsi="Times New Roman" w:cs="Times New Roman"/>
                      <w:sz w:val="14"/>
                      <w:szCs w:val="16"/>
                    </w:rPr>
                  </w:pPr>
                  <w:r w:rsidRPr="00022FED">
                    <w:rPr>
                      <w:rFonts w:ascii="Times New Roman" w:hAnsi="Times New Roman" w:cs="Times New Roman"/>
                      <w:b/>
                      <w:sz w:val="14"/>
                      <w:szCs w:val="16"/>
                    </w:rPr>
                    <w:t xml:space="preserve">Disclaimer: </w:t>
                  </w:r>
                  <w:r w:rsidRPr="00022FED">
                    <w:rPr>
                      <w:rFonts w:ascii="Times New Roman" w:hAnsi="Times New Roman" w:cs="Times New Roman"/>
                      <w:sz w:val="14"/>
                      <w:szCs w:val="16"/>
                    </w:rPr>
                    <w:t>"</w:t>
                  </w:r>
                  <w:r w:rsidRPr="00022FED">
                    <w:rPr>
                      <w:rFonts w:ascii="Times New Roman" w:hAnsi="Times New Roman" w:cs="Times New Roman"/>
                      <w:b/>
                      <w:sz w:val="14"/>
                      <w:szCs w:val="16"/>
                    </w:rPr>
                    <w:t>VN30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VNMidcap</w:t>
                  </w:r>
                  <w:proofErr w:type="spellEnd"/>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VNSmallCap</w:t>
                  </w:r>
                  <w:proofErr w:type="spellEnd"/>
                  <w:r w:rsidRPr="00022FED">
                    <w:rPr>
                      <w:rFonts w:ascii="Times New Roman" w:hAnsi="Times New Roman" w:cs="Times New Roman"/>
                      <w:sz w:val="14"/>
                      <w:szCs w:val="16"/>
                    </w:rPr>
                    <w:t>", “</w:t>
                  </w:r>
                  <w:r w:rsidRPr="00022FED">
                    <w:rPr>
                      <w:rFonts w:ascii="Times New Roman" w:hAnsi="Times New Roman" w:cs="Times New Roman"/>
                      <w:b/>
                      <w:sz w:val="14"/>
                      <w:szCs w:val="16"/>
                    </w:rPr>
                    <w:t>VN100</w:t>
                  </w:r>
                  <w:r w:rsidRPr="00022FED">
                    <w:rPr>
                      <w:rFonts w:ascii="Times New Roman" w:hAnsi="Times New Roman" w:cs="Times New Roman"/>
                      <w:sz w:val="14"/>
                      <w:szCs w:val="16"/>
                    </w:rPr>
                    <w:t>”,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sz w:val="14"/>
                      <w:szCs w:val="16"/>
                    </w:rPr>
                    <w:t>” and "</w:t>
                  </w:r>
                  <w:proofErr w:type="spellStart"/>
                  <w:r w:rsidRPr="00022FED">
                    <w:rPr>
                      <w:rFonts w:ascii="Times New Roman" w:hAnsi="Times New Roman" w:cs="Times New Roman"/>
                      <w:b/>
                      <w:sz w:val="14"/>
                      <w:szCs w:val="16"/>
                    </w:rPr>
                    <w:t>VNAllshare</w:t>
                  </w:r>
                  <w:proofErr w:type="spellEnd"/>
                  <w:r w:rsidRPr="00022FED">
                    <w:rPr>
                      <w:rFonts w:ascii="Times New Roman" w:hAnsi="Times New Roman" w:cs="Times New Roman"/>
                      <w:b/>
                      <w:sz w:val="14"/>
                      <w:szCs w:val="16"/>
                    </w:rPr>
                    <w:t xml:space="preserve"> Sector</w:t>
                  </w:r>
                  <w:r w:rsidRPr="00022FED">
                    <w:rPr>
                      <w:rFonts w:ascii="Times New Roman" w:hAnsi="Times New Roman" w:cs="Times New Roman"/>
                      <w:sz w:val="14"/>
                      <w:szCs w:val="16"/>
                    </w:rPr>
                    <w:t>" (collectively called "</w:t>
                  </w:r>
                  <w:r w:rsidRPr="00022FED">
                    <w:rPr>
                      <w:rFonts w:ascii="Times New Roman" w:hAnsi="Times New Roman" w:cs="Times New Roman"/>
                      <w:b/>
                      <w:sz w:val="14"/>
                      <w:szCs w:val="16"/>
                    </w:rPr>
                    <w:t>HOSE-Index</w:t>
                  </w:r>
                  <w:r w:rsidRPr="00022FED">
                    <w:rPr>
                      <w:rFonts w:ascii="Times New Roman" w:hAnsi="Times New Roman" w:cs="Times New Roman"/>
                      <w:sz w:val="14"/>
                      <w:szCs w:val="16"/>
                    </w:rPr>
                    <w:t xml:space="preserve">") are the registered trademarks and/or service mark solely owned by, and proprietary to the </w:t>
                  </w:r>
                  <w:proofErr w:type="spellStart"/>
                  <w:r w:rsidRPr="00022FED">
                    <w:rPr>
                      <w:rFonts w:ascii="Times New Roman" w:hAnsi="Times New Roman" w:cs="Times New Roman"/>
                      <w:sz w:val="14"/>
                      <w:szCs w:val="16"/>
                    </w:rPr>
                    <w:t>Hochiminh</w:t>
                  </w:r>
                  <w:proofErr w:type="spellEnd"/>
                  <w:r w:rsidRPr="00022FED">
                    <w:rPr>
                      <w:rFonts w:ascii="Times New Roman" w:hAnsi="Times New Roman" w:cs="Times New Roman"/>
                      <w:sz w:val="14"/>
                      <w:szCs w:val="16"/>
                    </w:rPr>
                    <w:t xml:space="preserve"> Stock Exchange</w:t>
                  </w:r>
                  <w:r>
                    <w:rPr>
                      <w:rFonts w:ascii="Times New Roman" w:hAnsi="Times New Roman" w:cs="Times New Roman"/>
                      <w:sz w:val="14"/>
                      <w:szCs w:val="16"/>
                    </w:rPr>
                    <w:t xml:space="preserve"> (HOSE)</w:t>
                  </w:r>
                  <w:r w:rsidRPr="00022FED">
                    <w:rPr>
                      <w:rFonts w:ascii="Times New Roman" w:hAnsi="Times New Roman" w:cs="Times New Roman"/>
                      <w:sz w:val="14"/>
                      <w:szCs w:val="16"/>
                    </w:rPr>
                    <w:t xml:space="preserve">. HOSE-Index can be used to create a range of index-linked products including but not limited to tracker funds, derivatives, etc. Such product creation is subject to approval by HOSE. For more information, please contact via e-mail: </w:t>
                  </w:r>
                  <w:r w:rsidRPr="00022FED">
                    <w:rPr>
                      <w:rFonts w:ascii="Times New Roman" w:hAnsi="Times New Roman" w:cs="Times New Roman"/>
                      <w:i/>
                      <w:sz w:val="14"/>
                      <w:szCs w:val="16"/>
                    </w:rPr>
                    <w:t>index@hsx.vn</w:t>
                  </w:r>
                </w:p>
                <w:p w:rsidR="00474BB6" w:rsidRPr="00D20BEE" w:rsidRDefault="00474BB6" w:rsidP="0074250D">
                  <w:pPr>
                    <w:framePr w:hSpace="180" w:wrap="around" w:vAnchor="text" w:hAnchor="margin" w:y="-71"/>
                    <w:jc w:val="both"/>
                    <w:rPr>
                      <w:rFonts w:ascii="Times New Roman" w:hAnsi="Times New Roman" w:cs="Times New Roman"/>
                      <w:sz w:val="12"/>
                      <w:szCs w:val="12"/>
                    </w:rPr>
                  </w:pPr>
                  <w:r w:rsidRPr="00022FED">
                    <w:rPr>
                      <w:rFonts w:ascii="Times New Roman" w:hAnsi="Times New Roman" w:cs="Times New Roman"/>
                      <w:sz w:val="14"/>
                      <w:szCs w:val="16"/>
                    </w:rPr>
                    <w:t>All information is provided for information purposes only. Every effort is made to ensure that all information given in this publication is accurate, but no responsibility or liability can be accepted by HOSE nor its</w:t>
                  </w:r>
                  <w:r>
                    <w:rPr>
                      <w:rFonts w:ascii="Times New Roman" w:hAnsi="Times New Roman" w:cs="Times New Roman"/>
                    </w:rPr>
                    <w:t xml:space="preserve"> </w:t>
                  </w:r>
                  <w:r w:rsidRPr="00022FED">
                    <w:rPr>
                      <w:rFonts w:ascii="Times New Roman" w:hAnsi="Times New Roman" w:cs="Times New Roman"/>
                      <w:sz w:val="14"/>
                      <w:szCs w:val="16"/>
                    </w:rPr>
                    <w:t>directors, officers, employees, partners or licensors for any errors or for any loss from use of this publication or any of the information or data contained herein.</w:t>
                  </w:r>
                </w:p>
              </w:tc>
            </w:tr>
          </w:tbl>
          <w:p w:rsidR="00474BB6" w:rsidRPr="006D2F55" w:rsidRDefault="00474BB6" w:rsidP="00474BB6">
            <w:pPr>
              <w:jc w:val="center"/>
              <w:rPr>
                <w:rFonts w:ascii="Arial" w:eastAsia="Times New Roman" w:hAnsi="Arial" w:cs="Arial"/>
              </w:rPr>
            </w:pPr>
          </w:p>
        </w:tc>
      </w:tr>
      <w:tr w:rsidR="00474BB6" w:rsidRPr="006D2F55" w:rsidTr="00474BB6">
        <w:tblPrEx>
          <w:tblCellMar>
            <w:left w:w="108" w:type="dxa"/>
            <w:right w:w="108" w:type="dxa"/>
          </w:tblCellMar>
        </w:tblPrEx>
        <w:trPr>
          <w:trHeight w:val="302"/>
        </w:trPr>
        <w:tc>
          <w:tcPr>
            <w:tcW w:w="5575" w:type="dxa"/>
            <w:gridSpan w:val="2"/>
            <w:shd w:val="clear" w:color="auto" w:fill="0070C0"/>
            <w:vAlign w:val="center"/>
          </w:tcPr>
          <w:p w:rsidR="00474BB6" w:rsidRPr="00252690" w:rsidRDefault="00474BB6" w:rsidP="00474BB6">
            <w:pPr>
              <w:rPr>
                <w:rFonts w:ascii="Arial" w:eastAsia="Times New Roman" w:hAnsi="Arial" w:cs="Arial"/>
              </w:rPr>
            </w:pPr>
            <w:r w:rsidRPr="0006583E">
              <w:rPr>
                <w:rFonts w:ascii="Times New Roman" w:eastAsia="Times New Roman" w:hAnsi="Times New Roman" w:cs="Times New Roman"/>
                <w:b/>
                <w:color w:val="FFFFFF" w:themeColor="background1"/>
                <w:szCs w:val="12"/>
              </w:rPr>
              <w:t>Top-5 Sectors of Market Capitalization</w:t>
            </w:r>
          </w:p>
        </w:tc>
        <w:tc>
          <w:tcPr>
            <w:tcW w:w="5733" w:type="dxa"/>
            <w:gridSpan w:val="7"/>
            <w:vMerge/>
          </w:tcPr>
          <w:p w:rsidR="00474BB6" w:rsidRPr="006D2F55" w:rsidRDefault="00474BB6" w:rsidP="00474BB6">
            <w:pPr>
              <w:jc w:val="center"/>
              <w:rPr>
                <w:rFonts w:ascii="Arial" w:eastAsia="Times New Roman" w:hAnsi="Arial" w:cs="Arial"/>
              </w:rPr>
            </w:pPr>
          </w:p>
        </w:tc>
      </w:tr>
      <w:tr w:rsidR="00474BB6" w:rsidRPr="006D2F55" w:rsidTr="00474BB6">
        <w:tblPrEx>
          <w:tblCellMar>
            <w:left w:w="108" w:type="dxa"/>
            <w:right w:w="108" w:type="dxa"/>
          </w:tblCellMar>
        </w:tblPrEx>
        <w:trPr>
          <w:trHeight w:hRule="exact" w:val="2566"/>
        </w:trPr>
        <w:tc>
          <w:tcPr>
            <w:tcW w:w="5575" w:type="dxa"/>
            <w:gridSpan w:val="2"/>
          </w:tcPr>
          <w:tbl>
            <w:tblPr>
              <w:tblpPr w:leftFromText="180" w:rightFromText="180" w:vertAnchor="page" w:horzAnchor="margin" w:tblpY="1"/>
              <w:tblOverlap w:val="never"/>
              <w:tblW w:w="5776" w:type="dxa"/>
              <w:tblBorders>
                <w:top w:val="single" w:sz="4" w:space="0" w:color="0070C0"/>
                <w:bottom w:val="single" w:sz="4" w:space="0" w:color="0070C0"/>
                <w:insideH w:val="single" w:sz="4" w:space="0" w:color="0070C0"/>
              </w:tblBorders>
              <w:tblLayout w:type="fixed"/>
              <w:tblLook w:val="04A0" w:firstRow="1" w:lastRow="0" w:firstColumn="1" w:lastColumn="0" w:noHBand="0" w:noVBand="1"/>
            </w:tblPr>
            <w:tblGrid>
              <w:gridCol w:w="1485"/>
              <w:gridCol w:w="1228"/>
              <w:gridCol w:w="2135"/>
              <w:gridCol w:w="928"/>
            </w:tblGrid>
            <w:tr w:rsidR="00474BB6" w:rsidRPr="000C45C8" w:rsidTr="00E30240">
              <w:trPr>
                <w:trHeight w:val="328"/>
              </w:trPr>
              <w:tc>
                <w:tcPr>
                  <w:tcW w:w="1485" w:type="dxa"/>
                  <w:shd w:val="clear" w:color="auto" w:fill="auto"/>
                  <w:noWrap/>
                  <w:vAlign w:val="center"/>
                  <w:hideMark/>
                </w:tcPr>
                <w:p w:rsidR="00474BB6" w:rsidRPr="007F1789" w:rsidRDefault="00474BB6" w:rsidP="00474BB6">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Sector</w:t>
                  </w:r>
                </w:p>
              </w:tc>
              <w:tc>
                <w:tcPr>
                  <w:tcW w:w="1228" w:type="dxa"/>
                  <w:shd w:val="clear" w:color="auto" w:fill="auto"/>
                  <w:noWrap/>
                  <w:vAlign w:val="center"/>
                  <w:hideMark/>
                </w:tcPr>
                <w:p w:rsidR="00474BB6" w:rsidRPr="007F1789" w:rsidRDefault="00474BB6" w:rsidP="00474BB6">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Number of Companies</w:t>
                  </w:r>
                </w:p>
              </w:tc>
              <w:tc>
                <w:tcPr>
                  <w:tcW w:w="2135" w:type="dxa"/>
                  <w:vAlign w:val="center"/>
                </w:tcPr>
                <w:p w:rsidR="00474BB6" w:rsidRPr="007F1789" w:rsidRDefault="00474BB6" w:rsidP="00474BB6">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Free-</w:t>
                  </w:r>
                  <w:r w:rsidRPr="007F1789">
                    <w:rPr>
                      <w:rFonts w:ascii="Times New Roman" w:eastAsia="Times New Roman" w:hAnsi="Times New Roman" w:cs="Times New Roman"/>
                      <w:b/>
                      <w:sz w:val="14"/>
                      <w:szCs w:val="14"/>
                    </w:rPr>
                    <w:t>float adjusted</w:t>
                  </w:r>
                </w:p>
                <w:p w:rsidR="00474BB6" w:rsidRPr="007F1789" w:rsidRDefault="00474BB6" w:rsidP="00474BB6">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market-cap </w:t>
                  </w:r>
                  <w:r w:rsidRPr="007F1789">
                    <w:rPr>
                      <w:rFonts w:ascii="Times New Roman" w:eastAsia="Times New Roman" w:hAnsi="Times New Roman" w:cs="Times New Roman"/>
                      <w:b/>
                      <w:bCs/>
                      <w:color w:val="000000"/>
                      <w:sz w:val="14"/>
                      <w:szCs w:val="14"/>
                    </w:rPr>
                    <w:t>(</w:t>
                  </w:r>
                  <w:r>
                    <w:rPr>
                      <w:rFonts w:ascii="Times New Roman" w:eastAsia="Times New Roman" w:hAnsi="Times New Roman" w:cs="Times New Roman"/>
                      <w:b/>
                      <w:bCs/>
                      <w:color w:val="000000"/>
                      <w:sz w:val="14"/>
                      <w:szCs w:val="14"/>
                    </w:rPr>
                    <w:t>Billion VND</w:t>
                  </w:r>
                  <w:r w:rsidRPr="007F1789">
                    <w:rPr>
                      <w:rFonts w:ascii="Times New Roman" w:eastAsia="Times New Roman" w:hAnsi="Times New Roman" w:cs="Times New Roman"/>
                      <w:b/>
                      <w:bCs/>
                      <w:color w:val="000000"/>
                      <w:sz w:val="14"/>
                      <w:szCs w:val="14"/>
                    </w:rPr>
                    <w:t>)</w:t>
                  </w:r>
                </w:p>
              </w:tc>
              <w:tc>
                <w:tcPr>
                  <w:tcW w:w="928" w:type="dxa"/>
                  <w:vAlign w:val="center"/>
                </w:tcPr>
                <w:p w:rsidR="00474BB6" w:rsidRPr="007F1789" w:rsidRDefault="00474BB6" w:rsidP="00474BB6">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Weight</w:t>
                  </w:r>
                </w:p>
                <w:p w:rsidR="00474BB6" w:rsidRPr="007F1789" w:rsidRDefault="00474BB6" w:rsidP="00474BB6">
                  <w:pPr>
                    <w:spacing w:after="0" w:line="240" w:lineRule="auto"/>
                    <w:jc w:val="center"/>
                    <w:rPr>
                      <w:rFonts w:ascii="Times New Roman" w:eastAsia="Times New Roman" w:hAnsi="Times New Roman" w:cs="Times New Roman"/>
                      <w:b/>
                      <w:sz w:val="14"/>
                      <w:szCs w:val="14"/>
                    </w:rPr>
                  </w:pPr>
                  <w:r w:rsidRPr="007F1789">
                    <w:rPr>
                      <w:rFonts w:ascii="Times New Roman" w:eastAsia="Times New Roman" w:hAnsi="Times New Roman" w:cs="Times New Roman"/>
                      <w:b/>
                      <w:sz w:val="14"/>
                      <w:szCs w:val="14"/>
                    </w:rPr>
                    <w:t>(%)</w:t>
                  </w:r>
                </w:p>
              </w:tc>
            </w:tr>
            <w:tr w:rsidR="00093CB9" w:rsidRPr="000C45C8" w:rsidTr="00E30240">
              <w:trPr>
                <w:trHeight w:val="312"/>
              </w:trPr>
              <w:tc>
                <w:tcPr>
                  <w:tcW w:w="1485" w:type="dxa"/>
                  <w:shd w:val="clear" w:color="auto" w:fill="auto"/>
                  <w:noWrap/>
                  <w:vAlign w:val="center"/>
                  <w:hideMark/>
                </w:tcPr>
                <w:p w:rsidR="00093CB9" w:rsidRPr="00093CB9" w:rsidRDefault="00093CB9" w:rsidP="00093CB9">
                  <w:pPr>
                    <w:jc w:val="center"/>
                    <w:rPr>
                      <w:rFonts w:ascii="Times New Roman" w:hAnsi="Times New Roman" w:cs="Times New Roman"/>
                      <w:b/>
                      <w:bCs/>
                      <w:color w:val="000000"/>
                      <w:sz w:val="14"/>
                      <w:szCs w:val="14"/>
                    </w:rPr>
                  </w:pPr>
                  <w:r w:rsidRPr="00093CB9">
                    <w:rPr>
                      <w:rFonts w:ascii="Times New Roman" w:hAnsi="Times New Roman" w:cs="Times New Roman"/>
                      <w:b/>
                      <w:bCs/>
                      <w:color w:val="000000"/>
                      <w:sz w:val="14"/>
                      <w:szCs w:val="14"/>
                    </w:rPr>
                    <w:t>Industrials</w:t>
                  </w:r>
                </w:p>
              </w:tc>
              <w:tc>
                <w:tcPr>
                  <w:tcW w:w="1228"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45</w:t>
                  </w:r>
                </w:p>
              </w:tc>
              <w:tc>
                <w:tcPr>
                  <w:tcW w:w="2135"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11,820</w:t>
                  </w:r>
                </w:p>
              </w:tc>
              <w:tc>
                <w:tcPr>
                  <w:tcW w:w="928"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26.41%</w:t>
                  </w:r>
                </w:p>
              </w:tc>
            </w:tr>
            <w:tr w:rsidR="00093CB9" w:rsidRPr="000C45C8" w:rsidTr="00E30240">
              <w:trPr>
                <w:trHeight w:val="312"/>
              </w:trPr>
              <w:tc>
                <w:tcPr>
                  <w:tcW w:w="1485" w:type="dxa"/>
                  <w:shd w:val="clear" w:color="auto" w:fill="auto"/>
                  <w:noWrap/>
                  <w:vAlign w:val="center"/>
                  <w:hideMark/>
                </w:tcPr>
                <w:p w:rsidR="00093CB9" w:rsidRPr="00093CB9" w:rsidRDefault="00093CB9" w:rsidP="00093CB9">
                  <w:pPr>
                    <w:jc w:val="center"/>
                    <w:rPr>
                      <w:rFonts w:ascii="Times New Roman" w:hAnsi="Times New Roman" w:cs="Times New Roman"/>
                      <w:b/>
                      <w:bCs/>
                      <w:color w:val="000000"/>
                      <w:sz w:val="14"/>
                      <w:szCs w:val="14"/>
                    </w:rPr>
                  </w:pPr>
                  <w:r w:rsidRPr="00093CB9">
                    <w:rPr>
                      <w:rFonts w:ascii="Times New Roman" w:hAnsi="Times New Roman" w:cs="Times New Roman"/>
                      <w:b/>
                      <w:bCs/>
                      <w:color w:val="000000"/>
                      <w:sz w:val="14"/>
                      <w:szCs w:val="14"/>
                    </w:rPr>
                    <w:t>Consumer Discretionary</w:t>
                  </w:r>
                </w:p>
              </w:tc>
              <w:tc>
                <w:tcPr>
                  <w:tcW w:w="1228"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23</w:t>
                  </w:r>
                </w:p>
              </w:tc>
              <w:tc>
                <w:tcPr>
                  <w:tcW w:w="2135"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8,228</w:t>
                  </w:r>
                </w:p>
              </w:tc>
              <w:tc>
                <w:tcPr>
                  <w:tcW w:w="928"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18.38%</w:t>
                  </w:r>
                </w:p>
              </w:tc>
            </w:tr>
            <w:tr w:rsidR="00093CB9" w:rsidRPr="000C45C8" w:rsidTr="00E30240">
              <w:trPr>
                <w:trHeight w:val="312"/>
              </w:trPr>
              <w:tc>
                <w:tcPr>
                  <w:tcW w:w="1485" w:type="dxa"/>
                  <w:shd w:val="clear" w:color="auto" w:fill="auto"/>
                  <w:noWrap/>
                  <w:vAlign w:val="center"/>
                  <w:hideMark/>
                </w:tcPr>
                <w:p w:rsidR="00093CB9" w:rsidRPr="00093CB9" w:rsidRDefault="00093CB9" w:rsidP="00093CB9">
                  <w:pPr>
                    <w:jc w:val="center"/>
                    <w:rPr>
                      <w:rFonts w:ascii="Times New Roman" w:hAnsi="Times New Roman" w:cs="Times New Roman"/>
                      <w:b/>
                      <w:bCs/>
                      <w:color w:val="000000"/>
                      <w:sz w:val="14"/>
                      <w:szCs w:val="14"/>
                    </w:rPr>
                  </w:pPr>
                  <w:r w:rsidRPr="00093CB9">
                    <w:rPr>
                      <w:rFonts w:ascii="Times New Roman" w:hAnsi="Times New Roman" w:cs="Times New Roman"/>
                      <w:b/>
                      <w:bCs/>
                      <w:color w:val="000000"/>
                      <w:sz w:val="14"/>
                      <w:szCs w:val="14"/>
                    </w:rPr>
                    <w:t>Real Estate</w:t>
                  </w:r>
                </w:p>
              </w:tc>
              <w:tc>
                <w:tcPr>
                  <w:tcW w:w="1228"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18</w:t>
                  </w:r>
                </w:p>
              </w:tc>
              <w:tc>
                <w:tcPr>
                  <w:tcW w:w="2135"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6,911</w:t>
                  </w:r>
                </w:p>
              </w:tc>
              <w:tc>
                <w:tcPr>
                  <w:tcW w:w="928"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15.44%</w:t>
                  </w:r>
                </w:p>
              </w:tc>
            </w:tr>
            <w:tr w:rsidR="00093CB9" w:rsidRPr="000C45C8" w:rsidTr="00E30240">
              <w:trPr>
                <w:trHeight w:val="312"/>
              </w:trPr>
              <w:tc>
                <w:tcPr>
                  <w:tcW w:w="1485" w:type="dxa"/>
                  <w:shd w:val="clear" w:color="auto" w:fill="auto"/>
                  <w:noWrap/>
                  <w:vAlign w:val="center"/>
                  <w:hideMark/>
                </w:tcPr>
                <w:p w:rsidR="00093CB9" w:rsidRPr="00093CB9" w:rsidRDefault="00093CB9" w:rsidP="00093CB9">
                  <w:pPr>
                    <w:jc w:val="center"/>
                    <w:rPr>
                      <w:rFonts w:ascii="Times New Roman" w:hAnsi="Times New Roman" w:cs="Times New Roman"/>
                      <w:b/>
                      <w:bCs/>
                      <w:color w:val="000000"/>
                      <w:sz w:val="14"/>
                      <w:szCs w:val="14"/>
                    </w:rPr>
                  </w:pPr>
                  <w:r w:rsidRPr="00093CB9">
                    <w:rPr>
                      <w:rFonts w:ascii="Times New Roman" w:hAnsi="Times New Roman" w:cs="Times New Roman"/>
                      <w:b/>
                      <w:bCs/>
                      <w:color w:val="000000"/>
                      <w:sz w:val="14"/>
                      <w:szCs w:val="14"/>
                    </w:rPr>
                    <w:t>Materials</w:t>
                  </w:r>
                </w:p>
              </w:tc>
              <w:tc>
                <w:tcPr>
                  <w:tcW w:w="1228"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23</w:t>
                  </w:r>
                </w:p>
              </w:tc>
              <w:tc>
                <w:tcPr>
                  <w:tcW w:w="2135"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5,835</w:t>
                  </w:r>
                </w:p>
              </w:tc>
              <w:tc>
                <w:tcPr>
                  <w:tcW w:w="928"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13.04%</w:t>
                  </w:r>
                </w:p>
              </w:tc>
            </w:tr>
            <w:tr w:rsidR="00093CB9" w:rsidRPr="000C45C8" w:rsidTr="00E30240">
              <w:trPr>
                <w:trHeight w:val="312"/>
              </w:trPr>
              <w:tc>
                <w:tcPr>
                  <w:tcW w:w="1485" w:type="dxa"/>
                  <w:shd w:val="clear" w:color="auto" w:fill="auto"/>
                  <w:noWrap/>
                  <w:vAlign w:val="center"/>
                  <w:hideMark/>
                </w:tcPr>
                <w:p w:rsidR="00093CB9" w:rsidRPr="00093CB9" w:rsidRDefault="00093CB9" w:rsidP="00093CB9">
                  <w:pPr>
                    <w:jc w:val="center"/>
                    <w:rPr>
                      <w:rFonts w:ascii="Times New Roman" w:hAnsi="Times New Roman" w:cs="Times New Roman"/>
                      <w:b/>
                      <w:bCs/>
                      <w:color w:val="000000"/>
                      <w:sz w:val="14"/>
                      <w:szCs w:val="14"/>
                    </w:rPr>
                  </w:pPr>
                  <w:r w:rsidRPr="00093CB9">
                    <w:rPr>
                      <w:rFonts w:ascii="Times New Roman" w:hAnsi="Times New Roman" w:cs="Times New Roman"/>
                      <w:b/>
                      <w:bCs/>
                      <w:color w:val="000000"/>
                      <w:sz w:val="14"/>
                      <w:szCs w:val="14"/>
                    </w:rPr>
                    <w:t>Health Care</w:t>
                  </w:r>
                </w:p>
              </w:tc>
              <w:tc>
                <w:tcPr>
                  <w:tcW w:w="1228" w:type="dxa"/>
                  <w:shd w:val="clear" w:color="auto" w:fill="auto"/>
                  <w:noWrap/>
                  <w:vAlign w:val="center"/>
                  <w:hideMark/>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4</w:t>
                  </w:r>
                </w:p>
              </w:tc>
              <w:tc>
                <w:tcPr>
                  <w:tcW w:w="2135"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2,695</w:t>
                  </w:r>
                </w:p>
              </w:tc>
              <w:tc>
                <w:tcPr>
                  <w:tcW w:w="928" w:type="dxa"/>
                  <w:vAlign w:val="center"/>
                </w:tcPr>
                <w:p w:rsidR="00093CB9" w:rsidRPr="00093CB9" w:rsidRDefault="00093CB9" w:rsidP="00093CB9">
                  <w:pPr>
                    <w:jc w:val="center"/>
                    <w:rPr>
                      <w:rFonts w:ascii="Times New Roman" w:hAnsi="Times New Roman" w:cs="Times New Roman"/>
                      <w:color w:val="000000"/>
                      <w:sz w:val="14"/>
                      <w:szCs w:val="14"/>
                    </w:rPr>
                  </w:pPr>
                  <w:r w:rsidRPr="00093CB9">
                    <w:rPr>
                      <w:rFonts w:ascii="Times New Roman" w:hAnsi="Times New Roman" w:cs="Times New Roman"/>
                      <w:color w:val="000000"/>
                      <w:sz w:val="14"/>
                      <w:szCs w:val="14"/>
                    </w:rPr>
                    <w:t>6.02%</w:t>
                  </w:r>
                </w:p>
              </w:tc>
            </w:tr>
          </w:tbl>
          <w:p w:rsidR="00474BB6" w:rsidRPr="0006583E" w:rsidRDefault="00474BB6" w:rsidP="00474BB6">
            <w:pPr>
              <w:jc w:val="center"/>
              <w:rPr>
                <w:rFonts w:ascii="Times New Roman" w:eastAsia="Times New Roman" w:hAnsi="Times New Roman" w:cs="Times New Roman"/>
                <w:b/>
                <w:color w:val="FFFFFF" w:themeColor="background1"/>
                <w:szCs w:val="12"/>
              </w:rPr>
            </w:pPr>
          </w:p>
        </w:tc>
        <w:tc>
          <w:tcPr>
            <w:tcW w:w="5733" w:type="dxa"/>
            <w:gridSpan w:val="7"/>
            <w:vMerge/>
          </w:tcPr>
          <w:p w:rsidR="00474BB6" w:rsidRPr="006D2F55" w:rsidRDefault="00474BB6" w:rsidP="00474BB6">
            <w:pPr>
              <w:jc w:val="center"/>
              <w:rPr>
                <w:rFonts w:ascii="Arial" w:eastAsia="Times New Roman" w:hAnsi="Arial" w:cs="Arial"/>
              </w:rPr>
            </w:pPr>
          </w:p>
        </w:tc>
      </w:tr>
    </w:tbl>
    <w:p w:rsidR="00FA53D4" w:rsidRDefault="00FA53D4" w:rsidP="00FA53D4">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2336" behindDoc="0" locked="0" layoutInCell="1" allowOverlap="1" wp14:anchorId="0E940052" wp14:editId="5EDD06C7">
                <wp:simplePos x="0" y="0"/>
                <wp:positionH relativeFrom="column">
                  <wp:posOffset>299720</wp:posOffset>
                </wp:positionH>
                <wp:positionV relativeFrom="paragraph">
                  <wp:posOffset>287020</wp:posOffset>
                </wp:positionV>
                <wp:extent cx="6353175" cy="5052060"/>
                <wp:effectExtent l="0" t="0" r="9525"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052060"/>
                        </a:xfrm>
                        <a:prstGeom prst="rect">
                          <a:avLst/>
                        </a:prstGeom>
                        <a:solidFill>
                          <a:srgbClr val="FFFFFF"/>
                        </a:solidFill>
                        <a:ln w="9525">
                          <a:solidFill>
                            <a:srgbClr val="0070C0"/>
                          </a:solidFill>
                          <a:miter lim="800000"/>
                          <a:headEnd/>
                          <a:tailEnd/>
                        </a:ln>
                      </wps:spPr>
                      <wps:txbx>
                        <w:txbxContent>
                          <w:p w:rsidR="0074250D" w:rsidRPr="007A1F61" w:rsidRDefault="0074250D" w:rsidP="00FA53D4">
                            <w:pPr>
                              <w:autoSpaceDE w:val="0"/>
                              <w:autoSpaceDN w:val="0"/>
                              <w:adjustRightInd w:val="0"/>
                              <w:spacing w:before="40" w:after="40"/>
                              <w:jc w:val="center"/>
                              <w:rPr>
                                <w:rFonts w:ascii="Times New Roman" w:eastAsia="Times New Roman" w:hAnsi="Times New Roman" w:cs="Times New Roman"/>
                                <w:b/>
                                <w:color w:val="0070C0"/>
                                <w:sz w:val="32"/>
                                <w:szCs w:val="32"/>
                              </w:rPr>
                            </w:pPr>
                            <w:r w:rsidRPr="007A1F61">
                              <w:rPr>
                                <w:rFonts w:ascii="Times New Roman" w:eastAsia="Times New Roman" w:hAnsi="Times New Roman" w:cs="Times New Roman"/>
                                <w:b/>
                                <w:color w:val="0070C0"/>
                                <w:sz w:val="32"/>
                                <w:szCs w:val="32"/>
                              </w:rPr>
                              <w:t>SUMMARY OF HOSE-INDEX’S METHODOLOGY</w:t>
                            </w:r>
                          </w:p>
                          <w:p w:rsidR="0074250D" w:rsidRPr="0029423F" w:rsidRDefault="0074250D" w:rsidP="00FA53D4">
                            <w:pPr>
                              <w:autoSpaceDE w:val="0"/>
                              <w:autoSpaceDN w:val="0"/>
                              <w:adjustRightInd w:val="0"/>
                              <w:spacing w:before="40" w:after="40"/>
                              <w:jc w:val="both"/>
                              <w:rPr>
                                <w:rFonts w:ascii="Times New Roman" w:eastAsia="Times New Roman" w:hAnsi="Times New Roman" w:cs="Times New Roman"/>
                                <w:b/>
                                <w:color w:val="0070C0"/>
                                <w:sz w:val="28"/>
                                <w:szCs w:val="18"/>
                              </w:rPr>
                            </w:pPr>
                            <w:r w:rsidRPr="0029423F">
                              <w:rPr>
                                <w:rFonts w:ascii="Times New Roman" w:eastAsia="Times New Roman" w:hAnsi="Times New Roman" w:cs="Times New Roman"/>
                                <w:b/>
                                <w:color w:val="0070C0"/>
                                <w:sz w:val="28"/>
                                <w:szCs w:val="18"/>
                              </w:rPr>
                              <w:t>Selection Criteria:</w:t>
                            </w:r>
                          </w:p>
                          <w:p w:rsidR="0074250D" w:rsidRPr="00434E7A" w:rsidRDefault="0074250D" w:rsidP="00FA53D4">
                            <w:pPr>
                              <w:autoSpaceDE w:val="0"/>
                              <w:autoSpaceDN w:val="0"/>
                              <w:adjustRightInd w:val="0"/>
                              <w:spacing w:before="40" w:after="40"/>
                              <w:ind w:firstLine="360"/>
                              <w:jc w:val="both"/>
                              <w:rPr>
                                <w:rFonts w:ascii="Times New Roman" w:eastAsia="Times New Roman" w:hAnsi="Times New Roman" w:cs="Times New Roman"/>
                                <w:b/>
                              </w:rPr>
                            </w:pPr>
                            <w:r w:rsidRPr="00434E7A">
                              <w:rPr>
                                <w:rFonts w:ascii="Times New Roman" w:eastAsia="Times New Roman" w:hAnsi="Times New Roman" w:cs="Times New Roman"/>
                                <w:b/>
                              </w:rPr>
                              <w:t>1. Eligibility:</w:t>
                            </w:r>
                          </w:p>
                          <w:p w:rsidR="0074250D" w:rsidRPr="00434E7A" w:rsidRDefault="0074250D" w:rsidP="00FA53D4">
                            <w:pPr>
                              <w:numPr>
                                <w:ilvl w:val="0"/>
                                <w:numId w:val="4"/>
                              </w:numPr>
                              <w:autoSpaceDE w:val="0"/>
                              <w:autoSpaceDN w:val="0"/>
                              <w:adjustRightInd w:val="0"/>
                              <w:spacing w:before="40" w:after="40"/>
                              <w:ind w:left="1080"/>
                              <w:contextualSpacing/>
                              <w:jc w:val="both"/>
                              <w:rPr>
                                <w:rFonts w:ascii="Times New Roman" w:eastAsia="Times New Roman" w:hAnsi="Times New Roman" w:cs="Times New Roman"/>
                              </w:rPr>
                            </w:pPr>
                            <w:r w:rsidRPr="00434E7A">
                              <w:rPr>
                                <w:rFonts w:ascii="Times New Roman" w:eastAsia="Times New Roman" w:hAnsi="Times New Roman" w:cs="Times New Roman"/>
                              </w:rPr>
                              <w:t>Must be listed and traded on HOSE for a</w:t>
                            </w:r>
                            <w:r>
                              <w:rPr>
                                <w:rFonts w:ascii="Times New Roman" w:eastAsia="Times New Roman" w:hAnsi="Times New Roman" w:cs="Times New Roman"/>
                              </w:rPr>
                              <w:t>t</w:t>
                            </w:r>
                            <w:r w:rsidRPr="00434E7A">
                              <w:rPr>
                                <w:rFonts w:ascii="Times New Roman" w:eastAsia="Times New Roman" w:hAnsi="Times New Roman" w:cs="Times New Roman"/>
                              </w:rPr>
                              <w:t xml:space="preserve"> least 6 </w:t>
                            </w:r>
                            <w:r>
                              <w:rPr>
                                <w:rFonts w:ascii="Times New Roman" w:eastAsia="Times New Roman" w:hAnsi="Times New Roman" w:cs="Times New Roman"/>
                              </w:rPr>
                              <w:t>(six) months prior Review Date.</w:t>
                            </w:r>
                            <w:r w:rsidRPr="00434E7A">
                              <w:rPr>
                                <w:rFonts w:ascii="Times New Roman" w:eastAsia="Times New Roman" w:hAnsi="Times New Roman" w:cs="Times New Roman"/>
                              </w:rPr>
                              <w:t xml:space="preserve"> </w:t>
                            </w:r>
                          </w:p>
                          <w:p w:rsidR="0074250D" w:rsidRPr="00434E7A" w:rsidRDefault="0074250D" w:rsidP="00FA53D4">
                            <w:pPr>
                              <w:numPr>
                                <w:ilvl w:val="0"/>
                                <w:numId w:val="4"/>
                              </w:numPr>
                              <w:autoSpaceDE w:val="0"/>
                              <w:autoSpaceDN w:val="0"/>
                              <w:adjustRightInd w:val="0"/>
                              <w:spacing w:before="40" w:after="40"/>
                              <w:ind w:left="1080"/>
                              <w:contextualSpacing/>
                              <w:jc w:val="both"/>
                              <w:rPr>
                                <w:rFonts w:ascii="Times New Roman" w:eastAsia="Times New Roman" w:hAnsi="Times New Roman" w:cs="Times New Roman"/>
                              </w:rPr>
                            </w:pPr>
                            <w:r w:rsidRPr="00434E7A">
                              <w:rPr>
                                <w:rFonts w:ascii="Times New Roman" w:eastAsia="Times New Roman" w:hAnsi="Times New Roman" w:cs="Times New Roman"/>
                              </w:rPr>
                              <w:t>Must not violate disclosure requirement or subjected to control</w:t>
                            </w:r>
                            <w:r>
                              <w:rPr>
                                <w:rFonts w:ascii="Times New Roman" w:eastAsia="Times New Roman" w:hAnsi="Times New Roman" w:cs="Times New Roman"/>
                              </w:rPr>
                              <w:t>led</w:t>
                            </w:r>
                            <w:r w:rsidRPr="00434E7A">
                              <w:rPr>
                                <w:rFonts w:ascii="Times New Roman" w:eastAsia="Times New Roman" w:hAnsi="Times New Roman" w:cs="Times New Roman"/>
                              </w:rPr>
                              <w:t>, special control or suspended at l</w:t>
                            </w:r>
                            <w:r>
                              <w:rPr>
                                <w:rFonts w:ascii="Times New Roman" w:eastAsia="Times New Roman" w:hAnsi="Times New Roman" w:cs="Times New Roman"/>
                              </w:rPr>
                              <w:t>east 3 months prior Review Date</w:t>
                            </w:r>
                            <w:r w:rsidRPr="00434E7A">
                              <w:rPr>
                                <w:rFonts w:ascii="Times New Roman" w:eastAsia="Times New Roman" w:hAnsi="Times New Roman" w:cs="Times New Roman"/>
                              </w:rPr>
                              <w:t>.</w:t>
                            </w:r>
                          </w:p>
                          <w:p w:rsidR="0074250D" w:rsidRPr="00434E7A" w:rsidRDefault="0074250D" w:rsidP="00FA53D4">
                            <w:pPr>
                              <w:autoSpaceDE w:val="0"/>
                              <w:autoSpaceDN w:val="0"/>
                              <w:adjustRightInd w:val="0"/>
                              <w:spacing w:before="40" w:after="40"/>
                              <w:ind w:left="360"/>
                              <w:jc w:val="both"/>
                              <w:rPr>
                                <w:rFonts w:ascii="Times New Roman" w:eastAsia="Times New Roman" w:hAnsi="Times New Roman" w:cs="Times New Roman"/>
                              </w:rPr>
                            </w:pPr>
                            <w:r>
                              <w:rPr>
                                <w:rFonts w:ascii="Times New Roman" w:eastAsia="Times New Roman" w:hAnsi="Times New Roman" w:cs="Times New Roman"/>
                                <w:b/>
                              </w:rPr>
                              <w:t>2. Free-</w:t>
                            </w:r>
                            <w:r w:rsidRPr="00434E7A">
                              <w:rPr>
                                <w:rFonts w:ascii="Times New Roman" w:eastAsia="Times New Roman" w:hAnsi="Times New Roman" w:cs="Times New Roman"/>
                                <w:b/>
                              </w:rPr>
                              <w:t>float:</w:t>
                            </w:r>
                            <w:r>
                              <w:rPr>
                                <w:rFonts w:ascii="Times New Roman" w:eastAsia="Times New Roman" w:hAnsi="Times New Roman" w:cs="Times New Roman"/>
                              </w:rPr>
                              <w:t xml:space="preserve"> Companies must have free-</w:t>
                            </w:r>
                            <w:r w:rsidRPr="00434E7A">
                              <w:rPr>
                                <w:rFonts w:ascii="Times New Roman" w:eastAsia="Times New Roman" w:hAnsi="Times New Roman" w:cs="Times New Roman"/>
                              </w:rPr>
                              <w:t xml:space="preserve">float </w:t>
                            </w:r>
                            <w:r>
                              <w:rPr>
                                <w:rFonts w:ascii="Times New Roman" w:eastAsia="Times New Roman" w:hAnsi="Times New Roman" w:cs="Times New Roman"/>
                              </w:rPr>
                              <w:t xml:space="preserve">ratio </w:t>
                            </w:r>
                            <w:r w:rsidRPr="00434E7A">
                              <w:rPr>
                                <w:rFonts w:ascii="Times New Roman" w:eastAsia="Times New Roman" w:hAnsi="Times New Roman" w:cs="Times New Roman"/>
                              </w:rPr>
                              <w:t>minimum of 10%.</w:t>
                            </w:r>
                          </w:p>
                          <w:p w:rsidR="0074250D" w:rsidRPr="00434E7A" w:rsidRDefault="0074250D" w:rsidP="00FA53D4">
                            <w:pPr>
                              <w:autoSpaceDE w:val="0"/>
                              <w:autoSpaceDN w:val="0"/>
                              <w:adjustRightInd w:val="0"/>
                              <w:spacing w:before="40" w:after="40"/>
                              <w:ind w:left="360"/>
                              <w:jc w:val="both"/>
                              <w:rPr>
                                <w:rFonts w:ascii="Times New Roman" w:eastAsia="Times New Roman" w:hAnsi="Times New Roman" w:cs="Times New Roman"/>
                              </w:rPr>
                            </w:pPr>
                            <w:r w:rsidRPr="00434E7A">
                              <w:rPr>
                                <w:rFonts w:ascii="Times New Roman" w:eastAsia="Times New Roman" w:hAnsi="Times New Roman" w:cs="Times New Roman"/>
                                <w:b/>
                              </w:rPr>
                              <w:t>3. Liquidity:</w:t>
                            </w:r>
                            <w:r w:rsidRPr="00434E7A">
                              <w:rPr>
                                <w:rFonts w:ascii="Times New Roman" w:eastAsia="Times New Roman" w:hAnsi="Times New Roman" w:cs="Times New Roman"/>
                              </w:rPr>
                              <w:t xml:space="preserve"> Turnove</w:t>
                            </w:r>
                            <w:r>
                              <w:rPr>
                                <w:rFonts w:ascii="Times New Roman" w:eastAsia="Times New Roman" w:hAnsi="Times New Roman" w:cs="Times New Roman"/>
                              </w:rPr>
                              <w:t>r ratio must be at least 0.05%.</w:t>
                            </w:r>
                          </w:p>
                          <w:p w:rsidR="0074250D" w:rsidRPr="0029423F" w:rsidRDefault="0074250D" w:rsidP="00FA53D4">
                            <w:pPr>
                              <w:autoSpaceDE w:val="0"/>
                              <w:autoSpaceDN w:val="0"/>
                              <w:adjustRightInd w:val="0"/>
                              <w:spacing w:before="40" w:after="40"/>
                              <w:jc w:val="both"/>
                              <w:rPr>
                                <w:rFonts w:ascii="Times New Roman" w:eastAsia="Times New Roman" w:hAnsi="Times New Roman" w:cs="Times New Roman"/>
                                <w:b/>
                                <w:color w:val="0070C0"/>
                                <w:sz w:val="28"/>
                                <w:szCs w:val="18"/>
                              </w:rPr>
                            </w:pPr>
                            <w:r w:rsidRPr="0029423F">
                              <w:rPr>
                                <w:rFonts w:ascii="Times New Roman" w:eastAsia="Times New Roman" w:hAnsi="Times New Roman" w:cs="Times New Roman"/>
                                <w:b/>
                                <w:color w:val="0070C0"/>
                                <w:sz w:val="28"/>
                                <w:szCs w:val="18"/>
                              </w:rPr>
                              <w:t>Constituents Selection:</w:t>
                            </w:r>
                          </w:p>
                          <w:p w:rsidR="0074250D" w:rsidRPr="00434E7A" w:rsidRDefault="0074250D" w:rsidP="00FA53D4">
                            <w:pPr>
                              <w:autoSpaceDE w:val="0"/>
                              <w:autoSpaceDN w:val="0"/>
                              <w:adjustRightInd w:val="0"/>
                              <w:spacing w:before="40" w:after="40"/>
                              <w:ind w:firstLine="360"/>
                              <w:jc w:val="both"/>
                              <w:rPr>
                                <w:rFonts w:ascii="Times New Roman" w:eastAsia="Times New Roman" w:hAnsi="Times New Roman" w:cs="Times New Roman"/>
                              </w:rPr>
                            </w:pPr>
                            <w:r w:rsidRPr="00434E7A">
                              <w:rPr>
                                <w:rFonts w:ascii="Times New Roman" w:eastAsia="Times New Roman" w:hAnsi="Times New Roman" w:cs="Times New Roman"/>
                                <w:b/>
                              </w:rPr>
                              <w:t xml:space="preserve">1. </w:t>
                            </w:r>
                            <w:proofErr w:type="spellStart"/>
                            <w:r w:rsidRPr="00434E7A">
                              <w:rPr>
                                <w:rFonts w:ascii="Times New Roman" w:eastAsia="Times New Roman" w:hAnsi="Times New Roman" w:cs="Times New Roman"/>
                                <w:b/>
                              </w:rPr>
                              <w:t>VNAllshare</w:t>
                            </w:r>
                            <w:proofErr w:type="spellEnd"/>
                            <w:r>
                              <w:rPr>
                                <w:rFonts w:ascii="Times New Roman" w:eastAsia="Times New Roman" w:hAnsi="Times New Roman" w:cs="Times New Roman"/>
                                <w:b/>
                              </w:rPr>
                              <w:t>:</w:t>
                            </w:r>
                            <w:r w:rsidRPr="00434E7A">
                              <w:rPr>
                                <w:rFonts w:ascii="Times New Roman" w:eastAsia="Times New Roman" w:hAnsi="Times New Roman" w:cs="Times New Roman"/>
                              </w:rPr>
                              <w:t xml:space="preserve"> </w:t>
                            </w:r>
                            <w:r>
                              <w:rPr>
                                <w:rFonts w:ascii="Times New Roman" w:eastAsia="Times New Roman" w:hAnsi="Times New Roman" w:cs="Times New Roman"/>
                              </w:rPr>
                              <w:t>C</w:t>
                            </w:r>
                            <w:r w:rsidRPr="00434E7A">
                              <w:rPr>
                                <w:rFonts w:ascii="Times New Roman" w:eastAsia="Times New Roman" w:hAnsi="Times New Roman" w:cs="Times New Roman"/>
                              </w:rPr>
                              <w:t>omprises the universe of all constituents that passed Selection Criteria.</w:t>
                            </w:r>
                          </w:p>
                          <w:p w:rsidR="0074250D" w:rsidRPr="00434E7A" w:rsidRDefault="0074250D" w:rsidP="00FA53D4">
                            <w:pPr>
                              <w:autoSpaceDE w:val="0"/>
                              <w:autoSpaceDN w:val="0"/>
                              <w:adjustRightInd w:val="0"/>
                              <w:spacing w:before="40" w:after="40"/>
                              <w:ind w:firstLine="360"/>
                              <w:jc w:val="both"/>
                              <w:rPr>
                                <w:rFonts w:ascii="Times New Roman" w:eastAsia="Times New Roman" w:hAnsi="Times New Roman" w:cs="Times New Roman"/>
                                <w:b/>
                              </w:rPr>
                            </w:pPr>
                            <w:r w:rsidRPr="00434E7A">
                              <w:rPr>
                                <w:rFonts w:ascii="Times New Roman" w:eastAsia="Times New Roman" w:hAnsi="Times New Roman" w:cs="Times New Roman"/>
                                <w:b/>
                              </w:rPr>
                              <w:t>2. VN30</w:t>
                            </w:r>
                            <w:r>
                              <w:rPr>
                                <w:rFonts w:ascii="Times New Roman" w:eastAsia="Times New Roman" w:hAnsi="Times New Roman" w:cs="Times New Roman"/>
                                <w:b/>
                              </w:rPr>
                              <w:t>:</w:t>
                            </w:r>
                          </w:p>
                          <w:p w:rsidR="0074250D" w:rsidRPr="00434E7A" w:rsidRDefault="0074250D" w:rsidP="00FA53D4">
                            <w:pPr>
                              <w:numPr>
                                <w:ilvl w:val="0"/>
                                <w:numId w:val="4"/>
                              </w:numPr>
                              <w:autoSpaceDE w:val="0"/>
                              <w:autoSpaceDN w:val="0"/>
                              <w:adjustRightInd w:val="0"/>
                              <w:spacing w:before="40" w:after="40"/>
                              <w:ind w:left="1080"/>
                              <w:contextualSpacing/>
                              <w:jc w:val="both"/>
                              <w:rPr>
                                <w:rFonts w:ascii="Times New Roman" w:eastAsia="Times New Roman" w:hAnsi="Times New Roman" w:cs="Times New Roman"/>
                              </w:rPr>
                            </w:pPr>
                            <w:r w:rsidRPr="00434E7A">
                              <w:rPr>
                                <w:rFonts w:ascii="Times New Roman" w:eastAsia="Times New Roman" w:hAnsi="Times New Roman" w:cs="Times New Roman"/>
                                <w:b/>
                              </w:rPr>
                              <w:t>Eligibility constituents for VN30:</w:t>
                            </w:r>
                            <w:r w:rsidRPr="00434E7A">
                              <w:rPr>
                                <w:rFonts w:ascii="Times New Roman" w:eastAsia="Times New Roman" w:hAnsi="Times New Roman" w:cs="Times New Roman"/>
                              </w:rPr>
                              <w:t xml:space="preserve"> Must belong to top-listed accumulated 90% of traded value of </w:t>
                            </w:r>
                            <w:proofErr w:type="spellStart"/>
                            <w:r w:rsidRPr="00434E7A">
                              <w:rPr>
                                <w:rFonts w:ascii="Times New Roman" w:eastAsia="Times New Roman" w:hAnsi="Times New Roman" w:cs="Times New Roman"/>
                              </w:rPr>
                              <w:t>VNAllshare</w:t>
                            </w:r>
                            <w:proofErr w:type="spellEnd"/>
                            <w:r>
                              <w:rPr>
                                <w:rFonts w:ascii="Times New Roman" w:eastAsia="Times New Roman" w:hAnsi="Times New Roman" w:cs="Times New Roman"/>
                              </w:rPr>
                              <w:t>.</w:t>
                            </w:r>
                          </w:p>
                          <w:p w:rsidR="0074250D" w:rsidRPr="00434E7A" w:rsidRDefault="0074250D" w:rsidP="00FA53D4">
                            <w:pPr>
                              <w:numPr>
                                <w:ilvl w:val="0"/>
                                <w:numId w:val="4"/>
                              </w:numPr>
                              <w:autoSpaceDE w:val="0"/>
                              <w:autoSpaceDN w:val="0"/>
                              <w:adjustRightInd w:val="0"/>
                              <w:spacing w:before="40" w:after="40"/>
                              <w:ind w:left="1080"/>
                              <w:contextualSpacing/>
                              <w:jc w:val="both"/>
                              <w:rPr>
                                <w:rFonts w:ascii="Times New Roman" w:eastAsia="Times New Roman" w:hAnsi="Times New Roman" w:cs="Times New Roman"/>
                              </w:rPr>
                            </w:pPr>
                            <w:r w:rsidRPr="00434E7A">
                              <w:rPr>
                                <w:rFonts w:ascii="Times New Roman" w:eastAsia="Times New Roman" w:hAnsi="Times New Roman" w:cs="Times New Roman"/>
                              </w:rPr>
                              <w:t>20 largest companies by market-capitalization are chosen. The remaining 10 companies are selected from 21st to 40th ranked in market-capitalization with priority given to current constituent(s) of VN30.</w:t>
                            </w:r>
                          </w:p>
                          <w:p w:rsidR="0074250D" w:rsidRPr="00434E7A" w:rsidRDefault="0074250D" w:rsidP="00FA53D4">
                            <w:pPr>
                              <w:autoSpaceDE w:val="0"/>
                              <w:autoSpaceDN w:val="0"/>
                              <w:adjustRightInd w:val="0"/>
                              <w:spacing w:before="40" w:after="40"/>
                              <w:ind w:firstLine="360"/>
                              <w:jc w:val="both"/>
                              <w:rPr>
                                <w:rFonts w:ascii="Times New Roman" w:eastAsia="Times New Roman" w:hAnsi="Times New Roman" w:cs="Times New Roman"/>
                                <w:b/>
                              </w:rPr>
                            </w:pPr>
                            <w:r w:rsidRPr="00434E7A">
                              <w:rPr>
                                <w:rFonts w:ascii="Times New Roman" w:eastAsia="Times New Roman" w:hAnsi="Times New Roman" w:cs="Times New Roman"/>
                                <w:b/>
                              </w:rPr>
                              <w:t xml:space="preserve">3. </w:t>
                            </w:r>
                            <w:proofErr w:type="spellStart"/>
                            <w:r w:rsidRPr="00434E7A">
                              <w:rPr>
                                <w:rFonts w:ascii="Times New Roman" w:eastAsia="Times New Roman" w:hAnsi="Times New Roman" w:cs="Times New Roman"/>
                                <w:b/>
                              </w:rPr>
                              <w:t>VNMidcap</w:t>
                            </w:r>
                            <w:proofErr w:type="spellEnd"/>
                            <w:r>
                              <w:rPr>
                                <w:rFonts w:ascii="Times New Roman" w:eastAsia="Times New Roman" w:hAnsi="Times New Roman" w:cs="Times New Roman"/>
                                <w:b/>
                              </w:rPr>
                              <w:t>:</w:t>
                            </w:r>
                          </w:p>
                          <w:p w:rsidR="0074250D" w:rsidRPr="00434E7A" w:rsidRDefault="0074250D" w:rsidP="00FA53D4">
                            <w:pPr>
                              <w:numPr>
                                <w:ilvl w:val="0"/>
                                <w:numId w:val="4"/>
                              </w:numPr>
                              <w:autoSpaceDE w:val="0"/>
                              <w:autoSpaceDN w:val="0"/>
                              <w:adjustRightInd w:val="0"/>
                              <w:spacing w:before="40" w:after="40"/>
                              <w:ind w:left="1080"/>
                              <w:contextualSpacing/>
                              <w:jc w:val="both"/>
                              <w:rPr>
                                <w:rFonts w:ascii="Times New Roman" w:eastAsia="Times New Roman" w:hAnsi="Times New Roman" w:cs="Times New Roman"/>
                              </w:rPr>
                            </w:pPr>
                            <w:r w:rsidRPr="00434E7A">
                              <w:rPr>
                                <w:rFonts w:ascii="Times New Roman" w:eastAsia="Times New Roman" w:hAnsi="Times New Roman" w:cs="Times New Roman"/>
                              </w:rPr>
                              <w:t>Excluding the VN30 constituents, 40 largest companies by market-capitalization from the remaining pool will be chosen.</w:t>
                            </w:r>
                          </w:p>
                          <w:p w:rsidR="0074250D" w:rsidRPr="00434E7A" w:rsidRDefault="0074250D" w:rsidP="00FA53D4">
                            <w:pPr>
                              <w:numPr>
                                <w:ilvl w:val="0"/>
                                <w:numId w:val="4"/>
                              </w:numPr>
                              <w:autoSpaceDE w:val="0"/>
                              <w:autoSpaceDN w:val="0"/>
                              <w:adjustRightInd w:val="0"/>
                              <w:spacing w:before="40" w:after="40"/>
                              <w:ind w:left="1080"/>
                              <w:contextualSpacing/>
                              <w:jc w:val="both"/>
                              <w:rPr>
                                <w:rFonts w:ascii="Times New Roman" w:eastAsia="Times New Roman" w:hAnsi="Times New Roman" w:cs="Times New Roman"/>
                              </w:rPr>
                            </w:pPr>
                            <w:r w:rsidRPr="00434E7A">
                              <w:rPr>
                                <w:rFonts w:ascii="Times New Roman" w:eastAsia="Times New Roman" w:hAnsi="Times New Roman" w:cs="Times New Roman"/>
                              </w:rPr>
                              <w:t xml:space="preserve">30 Stocks from the 41st to 80th of market-capitalization are select with priority given to current constituent(s) of </w:t>
                            </w:r>
                            <w:proofErr w:type="spellStart"/>
                            <w:r w:rsidRPr="00434E7A">
                              <w:rPr>
                                <w:rFonts w:ascii="Times New Roman" w:eastAsia="Times New Roman" w:hAnsi="Times New Roman" w:cs="Times New Roman"/>
                              </w:rPr>
                              <w:t>VNMidcap</w:t>
                            </w:r>
                            <w:proofErr w:type="spellEnd"/>
                            <w:r w:rsidRPr="00434E7A">
                              <w:rPr>
                                <w:rFonts w:ascii="Times New Roman" w:eastAsia="Times New Roman" w:hAnsi="Times New Roman" w:cs="Times New Roman"/>
                              </w:rPr>
                              <w:t xml:space="preserve"> index.</w:t>
                            </w:r>
                          </w:p>
                          <w:p w:rsidR="0074250D" w:rsidRPr="00434E7A" w:rsidRDefault="0074250D" w:rsidP="00FA53D4">
                            <w:pPr>
                              <w:autoSpaceDE w:val="0"/>
                              <w:autoSpaceDN w:val="0"/>
                              <w:adjustRightInd w:val="0"/>
                              <w:spacing w:before="40" w:after="40"/>
                              <w:ind w:firstLine="360"/>
                              <w:jc w:val="both"/>
                              <w:rPr>
                                <w:rFonts w:ascii="Times New Roman" w:eastAsia="Times New Roman" w:hAnsi="Times New Roman" w:cs="Times New Roman"/>
                              </w:rPr>
                            </w:pPr>
                            <w:r w:rsidRPr="00434E7A">
                              <w:rPr>
                                <w:rFonts w:ascii="Times New Roman" w:eastAsia="Times New Roman" w:hAnsi="Times New Roman" w:cs="Times New Roman"/>
                                <w:b/>
                              </w:rPr>
                              <w:t>4. VN100</w:t>
                            </w:r>
                            <w:r>
                              <w:rPr>
                                <w:rFonts w:ascii="Times New Roman" w:eastAsia="Times New Roman" w:hAnsi="Times New Roman" w:cs="Times New Roman"/>
                                <w:b/>
                              </w:rPr>
                              <w:t>:</w:t>
                            </w:r>
                            <w:r w:rsidRPr="00434E7A">
                              <w:rPr>
                                <w:rFonts w:ascii="Times New Roman" w:eastAsia="Times New Roman" w:hAnsi="Times New Roman" w:cs="Times New Roman"/>
                              </w:rPr>
                              <w:t xml:space="preserve"> </w:t>
                            </w:r>
                            <w:r>
                              <w:rPr>
                                <w:rFonts w:ascii="Times New Roman" w:eastAsia="Times New Roman" w:hAnsi="Times New Roman" w:cs="Times New Roman"/>
                              </w:rPr>
                              <w:t>C</w:t>
                            </w:r>
                            <w:r w:rsidRPr="00434E7A">
                              <w:rPr>
                                <w:rFonts w:ascii="Times New Roman" w:eastAsia="Times New Roman" w:hAnsi="Times New Roman" w:cs="Times New Roman"/>
                              </w:rPr>
                              <w:t>omprises</w:t>
                            </w:r>
                            <w:r>
                              <w:rPr>
                                <w:rFonts w:ascii="Times New Roman" w:eastAsia="Times New Roman" w:hAnsi="Times New Roman" w:cs="Times New Roman"/>
                              </w:rPr>
                              <w:t xml:space="preserve"> </w:t>
                            </w:r>
                            <w:r w:rsidRPr="00434E7A">
                              <w:rPr>
                                <w:rFonts w:ascii="Times New Roman" w:eastAsia="Times New Roman" w:hAnsi="Times New Roman" w:cs="Times New Roman"/>
                              </w:rPr>
                              <w:t xml:space="preserve">all constituents of VN30 and </w:t>
                            </w:r>
                            <w:proofErr w:type="spellStart"/>
                            <w:r w:rsidRPr="00434E7A">
                              <w:rPr>
                                <w:rFonts w:ascii="Times New Roman" w:eastAsia="Times New Roman" w:hAnsi="Times New Roman" w:cs="Times New Roman"/>
                              </w:rPr>
                              <w:t>VNMidcap</w:t>
                            </w:r>
                            <w:proofErr w:type="spellEnd"/>
                            <w:r w:rsidRPr="00434E7A">
                              <w:rPr>
                                <w:rFonts w:ascii="Times New Roman" w:eastAsia="Times New Roman" w:hAnsi="Times New Roman" w:cs="Times New Roman"/>
                              </w:rPr>
                              <w:t>.</w:t>
                            </w:r>
                          </w:p>
                          <w:p w:rsidR="0074250D" w:rsidRPr="009413D6" w:rsidRDefault="0074250D" w:rsidP="00FA53D4">
                            <w:pPr>
                              <w:autoSpaceDE w:val="0"/>
                              <w:autoSpaceDN w:val="0"/>
                              <w:adjustRightInd w:val="0"/>
                              <w:spacing w:before="40" w:after="40"/>
                              <w:ind w:firstLine="360"/>
                              <w:jc w:val="both"/>
                              <w:rPr>
                                <w:rFonts w:ascii="Times New Roman" w:eastAsia="Times New Roman" w:hAnsi="Times New Roman" w:cs="Times New Roman"/>
                              </w:rPr>
                            </w:pPr>
                            <w:r w:rsidRPr="00434E7A">
                              <w:rPr>
                                <w:rFonts w:ascii="Times New Roman" w:eastAsia="Times New Roman" w:hAnsi="Times New Roman" w:cs="Times New Roman"/>
                                <w:b/>
                              </w:rPr>
                              <w:t xml:space="preserve">5. </w:t>
                            </w:r>
                            <w:proofErr w:type="spellStart"/>
                            <w:r w:rsidRPr="00434E7A">
                              <w:rPr>
                                <w:rFonts w:ascii="Times New Roman" w:eastAsia="Times New Roman" w:hAnsi="Times New Roman" w:cs="Times New Roman"/>
                                <w:b/>
                              </w:rPr>
                              <w:t>VNSmallcap</w:t>
                            </w:r>
                            <w:proofErr w:type="spellEnd"/>
                            <w:r w:rsidRPr="009413D6">
                              <w:rPr>
                                <w:rFonts w:ascii="Times New Roman" w:eastAsia="Times New Roman" w:hAnsi="Times New Roman" w:cs="Times New Roman"/>
                                <w:b/>
                              </w:rPr>
                              <w:t>:</w:t>
                            </w:r>
                            <w:r w:rsidRPr="00434E7A">
                              <w:rPr>
                                <w:rFonts w:ascii="Times New Roman" w:eastAsia="Times New Roman" w:hAnsi="Times New Roman" w:cs="Times New Roman"/>
                              </w:rPr>
                              <w:t xml:space="preserve"> </w:t>
                            </w:r>
                            <w:r>
                              <w:rPr>
                                <w:rFonts w:ascii="Times New Roman" w:eastAsia="Times New Roman" w:hAnsi="Times New Roman" w:cs="Times New Roman"/>
                              </w:rPr>
                              <w:t>C</w:t>
                            </w:r>
                            <w:r w:rsidRPr="00434E7A">
                              <w:rPr>
                                <w:rFonts w:ascii="Times New Roman" w:eastAsia="Times New Roman" w:hAnsi="Times New Roman" w:cs="Times New Roman"/>
                              </w:rPr>
                              <w:t>omprises</w:t>
                            </w:r>
                            <w:r>
                              <w:rPr>
                                <w:rFonts w:ascii="Times New Roman" w:eastAsia="Times New Roman" w:hAnsi="Times New Roman" w:cs="Times New Roman"/>
                              </w:rPr>
                              <w:t xml:space="preserve"> </w:t>
                            </w:r>
                            <w:r w:rsidRPr="00434E7A">
                              <w:rPr>
                                <w:rFonts w:ascii="Times New Roman" w:eastAsia="Times New Roman" w:hAnsi="Times New Roman" w:cs="Times New Roman"/>
                              </w:rPr>
                              <w:t xml:space="preserve">all constituents of </w:t>
                            </w:r>
                            <w:proofErr w:type="spellStart"/>
                            <w:r w:rsidRPr="00434E7A">
                              <w:rPr>
                                <w:rFonts w:ascii="Times New Roman" w:eastAsia="Times New Roman" w:hAnsi="Times New Roman" w:cs="Times New Roman"/>
                              </w:rPr>
                              <w:t>VNAllshare</w:t>
                            </w:r>
                            <w:proofErr w:type="spellEnd"/>
                            <w:r w:rsidRPr="00434E7A">
                              <w:rPr>
                                <w:rFonts w:ascii="Times New Roman" w:eastAsia="Times New Roman" w:hAnsi="Times New Roman" w:cs="Times New Roman"/>
                              </w:rPr>
                              <w:t xml:space="preserve"> excluding VN100.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40052" id="Text Box 6" o:spid="_x0000_s1027" type="#_x0000_t202" style="position:absolute;margin-left:23.6pt;margin-top:22.6pt;width:500.25pt;height:39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" strokecolor="#0070c0">
                <v:textbox>
                  <w:txbxContent>
                    <w:p w:rsidR="0074250D" w:rsidRPr="007A1F61" w:rsidRDefault="0074250D" w:rsidP="00FA53D4">
                      <w:pPr>
                        <w:autoSpaceDE w:val="0"/>
                        <w:autoSpaceDN w:val="0"/>
                        <w:adjustRightInd w:val="0"/>
                        <w:spacing w:before="40" w:after="40"/>
                        <w:jc w:val="center"/>
                        <w:rPr>
                          <w:rFonts w:ascii="Times New Roman" w:eastAsia="Times New Roman" w:hAnsi="Times New Roman" w:cs="Times New Roman"/>
                          <w:b/>
                          <w:color w:val="0070C0"/>
                          <w:sz w:val="32"/>
                          <w:szCs w:val="32"/>
                        </w:rPr>
                      </w:pPr>
                      <w:r w:rsidRPr="007A1F61">
                        <w:rPr>
                          <w:rFonts w:ascii="Times New Roman" w:eastAsia="Times New Roman" w:hAnsi="Times New Roman" w:cs="Times New Roman"/>
                          <w:b/>
                          <w:color w:val="0070C0"/>
                          <w:sz w:val="32"/>
                          <w:szCs w:val="32"/>
                        </w:rPr>
                        <w:t>SUMMARY OF HOSE-INDEX’S METHODOLOGY</w:t>
                      </w:r>
                    </w:p>
                    <w:p w:rsidR="0074250D" w:rsidRPr="0029423F" w:rsidRDefault="0074250D" w:rsidP="00FA53D4">
                      <w:pPr>
                        <w:autoSpaceDE w:val="0"/>
                        <w:autoSpaceDN w:val="0"/>
                        <w:adjustRightInd w:val="0"/>
                        <w:spacing w:before="40" w:after="40"/>
                        <w:jc w:val="both"/>
                        <w:rPr>
                          <w:rFonts w:ascii="Times New Roman" w:eastAsia="Times New Roman" w:hAnsi="Times New Roman" w:cs="Times New Roman"/>
                          <w:b/>
                          <w:color w:val="0070C0"/>
                          <w:sz w:val="28"/>
                          <w:szCs w:val="18"/>
                        </w:rPr>
                      </w:pPr>
                      <w:r w:rsidRPr="0029423F">
                        <w:rPr>
                          <w:rFonts w:ascii="Times New Roman" w:eastAsia="Times New Roman" w:hAnsi="Times New Roman" w:cs="Times New Roman"/>
                          <w:b/>
                          <w:color w:val="0070C0"/>
                          <w:sz w:val="28"/>
                          <w:szCs w:val="18"/>
                        </w:rPr>
                        <w:t>Selection Criteria:</w:t>
                      </w:r>
                    </w:p>
                    <w:p w:rsidR="0074250D" w:rsidRPr="00434E7A" w:rsidRDefault="0074250D" w:rsidP="00FA53D4">
                      <w:pPr>
                        <w:autoSpaceDE w:val="0"/>
                        <w:autoSpaceDN w:val="0"/>
                        <w:adjustRightInd w:val="0"/>
                        <w:spacing w:before="40" w:after="40"/>
                        <w:ind w:firstLine="360"/>
                        <w:jc w:val="both"/>
                        <w:rPr>
                          <w:rFonts w:ascii="Times New Roman" w:eastAsia="Times New Roman" w:hAnsi="Times New Roman" w:cs="Times New Roman"/>
                          <w:b/>
                        </w:rPr>
                      </w:pPr>
                      <w:r w:rsidRPr="00434E7A">
                        <w:rPr>
                          <w:rFonts w:ascii="Times New Roman" w:eastAsia="Times New Roman" w:hAnsi="Times New Roman" w:cs="Times New Roman"/>
                          <w:b/>
                        </w:rPr>
                        <w:t>1. Eligibility:</w:t>
                      </w:r>
                    </w:p>
                    <w:p w:rsidR="0074250D" w:rsidRPr="00434E7A" w:rsidRDefault="0074250D" w:rsidP="00FA53D4">
                      <w:pPr>
                        <w:numPr>
                          <w:ilvl w:val="0"/>
                          <w:numId w:val="4"/>
                        </w:numPr>
                        <w:autoSpaceDE w:val="0"/>
                        <w:autoSpaceDN w:val="0"/>
                        <w:adjustRightInd w:val="0"/>
                        <w:spacing w:before="40" w:after="40"/>
                        <w:ind w:left="1080"/>
                        <w:contextualSpacing/>
                        <w:jc w:val="both"/>
                        <w:rPr>
                          <w:rFonts w:ascii="Times New Roman" w:eastAsia="Times New Roman" w:hAnsi="Times New Roman" w:cs="Times New Roman"/>
                        </w:rPr>
                      </w:pPr>
                      <w:r w:rsidRPr="00434E7A">
                        <w:rPr>
                          <w:rFonts w:ascii="Times New Roman" w:eastAsia="Times New Roman" w:hAnsi="Times New Roman" w:cs="Times New Roman"/>
                        </w:rPr>
                        <w:t>Must be listed and traded on HOSE for a</w:t>
                      </w:r>
                      <w:r>
                        <w:rPr>
                          <w:rFonts w:ascii="Times New Roman" w:eastAsia="Times New Roman" w:hAnsi="Times New Roman" w:cs="Times New Roman"/>
                        </w:rPr>
                        <w:t>t</w:t>
                      </w:r>
                      <w:r w:rsidRPr="00434E7A">
                        <w:rPr>
                          <w:rFonts w:ascii="Times New Roman" w:eastAsia="Times New Roman" w:hAnsi="Times New Roman" w:cs="Times New Roman"/>
                        </w:rPr>
                        <w:t xml:space="preserve"> least 6 </w:t>
                      </w:r>
                      <w:r>
                        <w:rPr>
                          <w:rFonts w:ascii="Times New Roman" w:eastAsia="Times New Roman" w:hAnsi="Times New Roman" w:cs="Times New Roman"/>
                        </w:rPr>
                        <w:t>(six) months prior Review Date.</w:t>
                      </w:r>
                      <w:r w:rsidRPr="00434E7A">
                        <w:rPr>
                          <w:rFonts w:ascii="Times New Roman" w:eastAsia="Times New Roman" w:hAnsi="Times New Roman" w:cs="Times New Roman"/>
                        </w:rPr>
                        <w:t xml:space="preserve"> </w:t>
                      </w:r>
                    </w:p>
                    <w:p w:rsidR="0074250D" w:rsidRPr="00434E7A" w:rsidRDefault="0074250D" w:rsidP="00FA53D4">
                      <w:pPr>
                        <w:numPr>
                          <w:ilvl w:val="0"/>
                          <w:numId w:val="4"/>
                        </w:numPr>
                        <w:autoSpaceDE w:val="0"/>
                        <w:autoSpaceDN w:val="0"/>
                        <w:adjustRightInd w:val="0"/>
                        <w:spacing w:before="40" w:after="40"/>
                        <w:ind w:left="1080"/>
                        <w:contextualSpacing/>
                        <w:jc w:val="both"/>
                        <w:rPr>
                          <w:rFonts w:ascii="Times New Roman" w:eastAsia="Times New Roman" w:hAnsi="Times New Roman" w:cs="Times New Roman"/>
                        </w:rPr>
                      </w:pPr>
                      <w:r w:rsidRPr="00434E7A">
                        <w:rPr>
                          <w:rFonts w:ascii="Times New Roman" w:eastAsia="Times New Roman" w:hAnsi="Times New Roman" w:cs="Times New Roman"/>
                        </w:rPr>
                        <w:t>Must not violate disclosure requirement or subjected to control</w:t>
                      </w:r>
                      <w:r>
                        <w:rPr>
                          <w:rFonts w:ascii="Times New Roman" w:eastAsia="Times New Roman" w:hAnsi="Times New Roman" w:cs="Times New Roman"/>
                        </w:rPr>
                        <w:t>led</w:t>
                      </w:r>
                      <w:r w:rsidRPr="00434E7A">
                        <w:rPr>
                          <w:rFonts w:ascii="Times New Roman" w:eastAsia="Times New Roman" w:hAnsi="Times New Roman" w:cs="Times New Roman"/>
                        </w:rPr>
                        <w:t>, special control or suspended at l</w:t>
                      </w:r>
                      <w:r>
                        <w:rPr>
                          <w:rFonts w:ascii="Times New Roman" w:eastAsia="Times New Roman" w:hAnsi="Times New Roman" w:cs="Times New Roman"/>
                        </w:rPr>
                        <w:t>east 3 months prior Review Date</w:t>
                      </w:r>
                      <w:r w:rsidRPr="00434E7A">
                        <w:rPr>
                          <w:rFonts w:ascii="Times New Roman" w:eastAsia="Times New Roman" w:hAnsi="Times New Roman" w:cs="Times New Roman"/>
                        </w:rPr>
                        <w:t>.</w:t>
                      </w:r>
                    </w:p>
                    <w:p w:rsidR="0074250D" w:rsidRPr="00434E7A" w:rsidRDefault="0074250D" w:rsidP="00FA53D4">
                      <w:pPr>
                        <w:autoSpaceDE w:val="0"/>
                        <w:autoSpaceDN w:val="0"/>
                        <w:adjustRightInd w:val="0"/>
                        <w:spacing w:before="40" w:after="40"/>
                        <w:ind w:left="360"/>
                        <w:jc w:val="both"/>
                        <w:rPr>
                          <w:rFonts w:ascii="Times New Roman" w:eastAsia="Times New Roman" w:hAnsi="Times New Roman" w:cs="Times New Roman"/>
                        </w:rPr>
                      </w:pPr>
                      <w:r>
                        <w:rPr>
                          <w:rFonts w:ascii="Times New Roman" w:eastAsia="Times New Roman" w:hAnsi="Times New Roman" w:cs="Times New Roman"/>
                          <w:b/>
                        </w:rPr>
                        <w:t>2. Free-</w:t>
                      </w:r>
                      <w:r w:rsidRPr="00434E7A">
                        <w:rPr>
                          <w:rFonts w:ascii="Times New Roman" w:eastAsia="Times New Roman" w:hAnsi="Times New Roman" w:cs="Times New Roman"/>
                          <w:b/>
                        </w:rPr>
                        <w:t>float:</w:t>
                      </w:r>
                      <w:r>
                        <w:rPr>
                          <w:rFonts w:ascii="Times New Roman" w:eastAsia="Times New Roman" w:hAnsi="Times New Roman" w:cs="Times New Roman"/>
                        </w:rPr>
                        <w:t xml:space="preserve"> Companies must have free-</w:t>
                      </w:r>
                      <w:r w:rsidRPr="00434E7A">
                        <w:rPr>
                          <w:rFonts w:ascii="Times New Roman" w:eastAsia="Times New Roman" w:hAnsi="Times New Roman" w:cs="Times New Roman"/>
                        </w:rPr>
                        <w:t xml:space="preserve">float </w:t>
                      </w:r>
                      <w:r>
                        <w:rPr>
                          <w:rFonts w:ascii="Times New Roman" w:eastAsia="Times New Roman" w:hAnsi="Times New Roman" w:cs="Times New Roman"/>
                        </w:rPr>
                        <w:t xml:space="preserve">ratio </w:t>
                      </w:r>
                      <w:r w:rsidRPr="00434E7A">
                        <w:rPr>
                          <w:rFonts w:ascii="Times New Roman" w:eastAsia="Times New Roman" w:hAnsi="Times New Roman" w:cs="Times New Roman"/>
                        </w:rPr>
                        <w:t>minimum of 10%.</w:t>
                      </w:r>
                    </w:p>
                    <w:p w:rsidR="0074250D" w:rsidRPr="00434E7A" w:rsidRDefault="0074250D" w:rsidP="00FA53D4">
                      <w:pPr>
                        <w:autoSpaceDE w:val="0"/>
                        <w:autoSpaceDN w:val="0"/>
                        <w:adjustRightInd w:val="0"/>
                        <w:spacing w:before="40" w:after="40"/>
                        <w:ind w:left="360"/>
                        <w:jc w:val="both"/>
                        <w:rPr>
                          <w:rFonts w:ascii="Times New Roman" w:eastAsia="Times New Roman" w:hAnsi="Times New Roman" w:cs="Times New Roman"/>
                        </w:rPr>
                      </w:pPr>
                      <w:r w:rsidRPr="00434E7A">
                        <w:rPr>
                          <w:rFonts w:ascii="Times New Roman" w:eastAsia="Times New Roman" w:hAnsi="Times New Roman" w:cs="Times New Roman"/>
                          <w:b/>
                        </w:rPr>
                        <w:t>3. Liquidity:</w:t>
                      </w:r>
                      <w:r w:rsidRPr="00434E7A">
                        <w:rPr>
                          <w:rFonts w:ascii="Times New Roman" w:eastAsia="Times New Roman" w:hAnsi="Times New Roman" w:cs="Times New Roman"/>
                        </w:rPr>
                        <w:t xml:space="preserve"> Turnove</w:t>
                      </w:r>
                      <w:r>
                        <w:rPr>
                          <w:rFonts w:ascii="Times New Roman" w:eastAsia="Times New Roman" w:hAnsi="Times New Roman" w:cs="Times New Roman"/>
                        </w:rPr>
                        <w:t>r ratio must be at least 0.05%.</w:t>
                      </w:r>
                    </w:p>
                    <w:p w:rsidR="0074250D" w:rsidRPr="0029423F" w:rsidRDefault="0074250D" w:rsidP="00FA53D4">
                      <w:pPr>
                        <w:autoSpaceDE w:val="0"/>
                        <w:autoSpaceDN w:val="0"/>
                        <w:adjustRightInd w:val="0"/>
                        <w:spacing w:before="40" w:after="40"/>
                        <w:jc w:val="both"/>
                        <w:rPr>
                          <w:rFonts w:ascii="Times New Roman" w:eastAsia="Times New Roman" w:hAnsi="Times New Roman" w:cs="Times New Roman"/>
                          <w:b/>
                          <w:color w:val="0070C0"/>
                          <w:sz w:val="28"/>
                          <w:szCs w:val="18"/>
                        </w:rPr>
                      </w:pPr>
                      <w:r w:rsidRPr="0029423F">
                        <w:rPr>
                          <w:rFonts w:ascii="Times New Roman" w:eastAsia="Times New Roman" w:hAnsi="Times New Roman" w:cs="Times New Roman"/>
                          <w:b/>
                          <w:color w:val="0070C0"/>
                          <w:sz w:val="28"/>
                          <w:szCs w:val="18"/>
                        </w:rPr>
                        <w:t>Constituents Selection:</w:t>
                      </w:r>
                    </w:p>
                    <w:p w:rsidR="0074250D" w:rsidRPr="00434E7A" w:rsidRDefault="0074250D" w:rsidP="00FA53D4">
                      <w:pPr>
                        <w:autoSpaceDE w:val="0"/>
                        <w:autoSpaceDN w:val="0"/>
                        <w:adjustRightInd w:val="0"/>
                        <w:spacing w:before="40" w:after="40"/>
                        <w:ind w:firstLine="360"/>
                        <w:jc w:val="both"/>
                        <w:rPr>
                          <w:rFonts w:ascii="Times New Roman" w:eastAsia="Times New Roman" w:hAnsi="Times New Roman" w:cs="Times New Roman"/>
                        </w:rPr>
                      </w:pPr>
                      <w:r w:rsidRPr="00434E7A">
                        <w:rPr>
                          <w:rFonts w:ascii="Times New Roman" w:eastAsia="Times New Roman" w:hAnsi="Times New Roman" w:cs="Times New Roman"/>
                          <w:b/>
                        </w:rPr>
                        <w:t xml:space="preserve">1. </w:t>
                      </w:r>
                      <w:proofErr w:type="spellStart"/>
                      <w:r w:rsidRPr="00434E7A">
                        <w:rPr>
                          <w:rFonts w:ascii="Times New Roman" w:eastAsia="Times New Roman" w:hAnsi="Times New Roman" w:cs="Times New Roman"/>
                          <w:b/>
                        </w:rPr>
                        <w:t>VNAllshare</w:t>
                      </w:r>
                      <w:proofErr w:type="spellEnd"/>
                      <w:r>
                        <w:rPr>
                          <w:rFonts w:ascii="Times New Roman" w:eastAsia="Times New Roman" w:hAnsi="Times New Roman" w:cs="Times New Roman"/>
                          <w:b/>
                        </w:rPr>
                        <w:t>:</w:t>
                      </w:r>
                      <w:r w:rsidRPr="00434E7A">
                        <w:rPr>
                          <w:rFonts w:ascii="Times New Roman" w:eastAsia="Times New Roman" w:hAnsi="Times New Roman" w:cs="Times New Roman"/>
                        </w:rPr>
                        <w:t xml:space="preserve"> </w:t>
                      </w:r>
                      <w:r>
                        <w:rPr>
                          <w:rFonts w:ascii="Times New Roman" w:eastAsia="Times New Roman" w:hAnsi="Times New Roman" w:cs="Times New Roman"/>
                        </w:rPr>
                        <w:t>C</w:t>
                      </w:r>
                      <w:r w:rsidRPr="00434E7A">
                        <w:rPr>
                          <w:rFonts w:ascii="Times New Roman" w:eastAsia="Times New Roman" w:hAnsi="Times New Roman" w:cs="Times New Roman"/>
                        </w:rPr>
                        <w:t>omprises the universe of all constituents that passed Selection Criteria.</w:t>
                      </w:r>
                    </w:p>
                    <w:p w:rsidR="0074250D" w:rsidRPr="00434E7A" w:rsidRDefault="0074250D" w:rsidP="00FA53D4">
                      <w:pPr>
                        <w:autoSpaceDE w:val="0"/>
                        <w:autoSpaceDN w:val="0"/>
                        <w:adjustRightInd w:val="0"/>
                        <w:spacing w:before="40" w:after="40"/>
                        <w:ind w:firstLine="360"/>
                        <w:jc w:val="both"/>
                        <w:rPr>
                          <w:rFonts w:ascii="Times New Roman" w:eastAsia="Times New Roman" w:hAnsi="Times New Roman" w:cs="Times New Roman"/>
                          <w:b/>
                        </w:rPr>
                      </w:pPr>
                      <w:r w:rsidRPr="00434E7A">
                        <w:rPr>
                          <w:rFonts w:ascii="Times New Roman" w:eastAsia="Times New Roman" w:hAnsi="Times New Roman" w:cs="Times New Roman"/>
                          <w:b/>
                        </w:rPr>
                        <w:t>2. VN30</w:t>
                      </w:r>
                      <w:r>
                        <w:rPr>
                          <w:rFonts w:ascii="Times New Roman" w:eastAsia="Times New Roman" w:hAnsi="Times New Roman" w:cs="Times New Roman"/>
                          <w:b/>
                        </w:rPr>
                        <w:t>:</w:t>
                      </w:r>
                    </w:p>
                    <w:p w:rsidR="0074250D" w:rsidRPr="00434E7A" w:rsidRDefault="0074250D" w:rsidP="00FA53D4">
                      <w:pPr>
                        <w:numPr>
                          <w:ilvl w:val="0"/>
                          <w:numId w:val="4"/>
                        </w:numPr>
                        <w:autoSpaceDE w:val="0"/>
                        <w:autoSpaceDN w:val="0"/>
                        <w:adjustRightInd w:val="0"/>
                        <w:spacing w:before="40" w:after="40"/>
                        <w:ind w:left="1080"/>
                        <w:contextualSpacing/>
                        <w:jc w:val="both"/>
                        <w:rPr>
                          <w:rFonts w:ascii="Times New Roman" w:eastAsia="Times New Roman" w:hAnsi="Times New Roman" w:cs="Times New Roman"/>
                        </w:rPr>
                      </w:pPr>
                      <w:r w:rsidRPr="00434E7A">
                        <w:rPr>
                          <w:rFonts w:ascii="Times New Roman" w:eastAsia="Times New Roman" w:hAnsi="Times New Roman" w:cs="Times New Roman"/>
                          <w:b/>
                        </w:rPr>
                        <w:t>Eligibility constituents for VN30:</w:t>
                      </w:r>
                      <w:r w:rsidRPr="00434E7A">
                        <w:rPr>
                          <w:rFonts w:ascii="Times New Roman" w:eastAsia="Times New Roman" w:hAnsi="Times New Roman" w:cs="Times New Roman"/>
                        </w:rPr>
                        <w:t xml:space="preserve"> Must belong to top-listed accumulated 90% of traded value of </w:t>
                      </w:r>
                      <w:proofErr w:type="spellStart"/>
                      <w:r w:rsidRPr="00434E7A">
                        <w:rPr>
                          <w:rFonts w:ascii="Times New Roman" w:eastAsia="Times New Roman" w:hAnsi="Times New Roman" w:cs="Times New Roman"/>
                        </w:rPr>
                        <w:t>VNAllshare</w:t>
                      </w:r>
                      <w:proofErr w:type="spellEnd"/>
                      <w:r>
                        <w:rPr>
                          <w:rFonts w:ascii="Times New Roman" w:eastAsia="Times New Roman" w:hAnsi="Times New Roman" w:cs="Times New Roman"/>
                        </w:rPr>
                        <w:t>.</w:t>
                      </w:r>
                    </w:p>
                    <w:p w:rsidR="0074250D" w:rsidRPr="00434E7A" w:rsidRDefault="0074250D" w:rsidP="00FA53D4">
                      <w:pPr>
                        <w:numPr>
                          <w:ilvl w:val="0"/>
                          <w:numId w:val="4"/>
                        </w:numPr>
                        <w:autoSpaceDE w:val="0"/>
                        <w:autoSpaceDN w:val="0"/>
                        <w:adjustRightInd w:val="0"/>
                        <w:spacing w:before="40" w:after="40"/>
                        <w:ind w:left="1080"/>
                        <w:contextualSpacing/>
                        <w:jc w:val="both"/>
                        <w:rPr>
                          <w:rFonts w:ascii="Times New Roman" w:eastAsia="Times New Roman" w:hAnsi="Times New Roman" w:cs="Times New Roman"/>
                        </w:rPr>
                      </w:pPr>
                      <w:r w:rsidRPr="00434E7A">
                        <w:rPr>
                          <w:rFonts w:ascii="Times New Roman" w:eastAsia="Times New Roman" w:hAnsi="Times New Roman" w:cs="Times New Roman"/>
                        </w:rPr>
                        <w:t>20 largest companies by market-capitalization are chosen. The remaining 10 companies are selected from 21st to 40th ranked in market-capitalization with priority given to current constituent(s) of VN30.</w:t>
                      </w:r>
                    </w:p>
                    <w:p w:rsidR="0074250D" w:rsidRPr="00434E7A" w:rsidRDefault="0074250D" w:rsidP="00FA53D4">
                      <w:pPr>
                        <w:autoSpaceDE w:val="0"/>
                        <w:autoSpaceDN w:val="0"/>
                        <w:adjustRightInd w:val="0"/>
                        <w:spacing w:before="40" w:after="40"/>
                        <w:ind w:firstLine="360"/>
                        <w:jc w:val="both"/>
                        <w:rPr>
                          <w:rFonts w:ascii="Times New Roman" w:eastAsia="Times New Roman" w:hAnsi="Times New Roman" w:cs="Times New Roman"/>
                          <w:b/>
                        </w:rPr>
                      </w:pPr>
                      <w:r w:rsidRPr="00434E7A">
                        <w:rPr>
                          <w:rFonts w:ascii="Times New Roman" w:eastAsia="Times New Roman" w:hAnsi="Times New Roman" w:cs="Times New Roman"/>
                          <w:b/>
                        </w:rPr>
                        <w:t xml:space="preserve">3. </w:t>
                      </w:r>
                      <w:proofErr w:type="spellStart"/>
                      <w:r w:rsidRPr="00434E7A">
                        <w:rPr>
                          <w:rFonts w:ascii="Times New Roman" w:eastAsia="Times New Roman" w:hAnsi="Times New Roman" w:cs="Times New Roman"/>
                          <w:b/>
                        </w:rPr>
                        <w:t>VNMidcap</w:t>
                      </w:r>
                      <w:proofErr w:type="spellEnd"/>
                      <w:r>
                        <w:rPr>
                          <w:rFonts w:ascii="Times New Roman" w:eastAsia="Times New Roman" w:hAnsi="Times New Roman" w:cs="Times New Roman"/>
                          <w:b/>
                        </w:rPr>
                        <w:t>:</w:t>
                      </w:r>
                    </w:p>
                    <w:p w:rsidR="0074250D" w:rsidRPr="00434E7A" w:rsidRDefault="0074250D" w:rsidP="00FA53D4">
                      <w:pPr>
                        <w:numPr>
                          <w:ilvl w:val="0"/>
                          <w:numId w:val="4"/>
                        </w:numPr>
                        <w:autoSpaceDE w:val="0"/>
                        <w:autoSpaceDN w:val="0"/>
                        <w:adjustRightInd w:val="0"/>
                        <w:spacing w:before="40" w:after="40"/>
                        <w:ind w:left="1080"/>
                        <w:contextualSpacing/>
                        <w:jc w:val="both"/>
                        <w:rPr>
                          <w:rFonts w:ascii="Times New Roman" w:eastAsia="Times New Roman" w:hAnsi="Times New Roman" w:cs="Times New Roman"/>
                        </w:rPr>
                      </w:pPr>
                      <w:r w:rsidRPr="00434E7A">
                        <w:rPr>
                          <w:rFonts w:ascii="Times New Roman" w:eastAsia="Times New Roman" w:hAnsi="Times New Roman" w:cs="Times New Roman"/>
                        </w:rPr>
                        <w:t>Excluding the VN30 constituents, 40 largest companies by market-capitalization from the remaining pool will be chosen.</w:t>
                      </w:r>
                    </w:p>
                    <w:p w:rsidR="0074250D" w:rsidRPr="00434E7A" w:rsidRDefault="0074250D" w:rsidP="00FA53D4">
                      <w:pPr>
                        <w:numPr>
                          <w:ilvl w:val="0"/>
                          <w:numId w:val="4"/>
                        </w:numPr>
                        <w:autoSpaceDE w:val="0"/>
                        <w:autoSpaceDN w:val="0"/>
                        <w:adjustRightInd w:val="0"/>
                        <w:spacing w:before="40" w:after="40"/>
                        <w:ind w:left="1080"/>
                        <w:contextualSpacing/>
                        <w:jc w:val="both"/>
                        <w:rPr>
                          <w:rFonts w:ascii="Times New Roman" w:eastAsia="Times New Roman" w:hAnsi="Times New Roman" w:cs="Times New Roman"/>
                        </w:rPr>
                      </w:pPr>
                      <w:r w:rsidRPr="00434E7A">
                        <w:rPr>
                          <w:rFonts w:ascii="Times New Roman" w:eastAsia="Times New Roman" w:hAnsi="Times New Roman" w:cs="Times New Roman"/>
                        </w:rPr>
                        <w:t xml:space="preserve">30 Stocks from the 41st to 80th of market-capitalization are select with priority given to current constituent(s) of </w:t>
                      </w:r>
                      <w:proofErr w:type="spellStart"/>
                      <w:r w:rsidRPr="00434E7A">
                        <w:rPr>
                          <w:rFonts w:ascii="Times New Roman" w:eastAsia="Times New Roman" w:hAnsi="Times New Roman" w:cs="Times New Roman"/>
                        </w:rPr>
                        <w:t>VNMidcap</w:t>
                      </w:r>
                      <w:proofErr w:type="spellEnd"/>
                      <w:r w:rsidRPr="00434E7A">
                        <w:rPr>
                          <w:rFonts w:ascii="Times New Roman" w:eastAsia="Times New Roman" w:hAnsi="Times New Roman" w:cs="Times New Roman"/>
                        </w:rPr>
                        <w:t xml:space="preserve"> index.</w:t>
                      </w:r>
                    </w:p>
                    <w:p w:rsidR="0074250D" w:rsidRPr="00434E7A" w:rsidRDefault="0074250D" w:rsidP="00FA53D4">
                      <w:pPr>
                        <w:autoSpaceDE w:val="0"/>
                        <w:autoSpaceDN w:val="0"/>
                        <w:adjustRightInd w:val="0"/>
                        <w:spacing w:before="40" w:after="40"/>
                        <w:ind w:firstLine="360"/>
                        <w:jc w:val="both"/>
                        <w:rPr>
                          <w:rFonts w:ascii="Times New Roman" w:eastAsia="Times New Roman" w:hAnsi="Times New Roman" w:cs="Times New Roman"/>
                        </w:rPr>
                      </w:pPr>
                      <w:r w:rsidRPr="00434E7A">
                        <w:rPr>
                          <w:rFonts w:ascii="Times New Roman" w:eastAsia="Times New Roman" w:hAnsi="Times New Roman" w:cs="Times New Roman"/>
                          <w:b/>
                        </w:rPr>
                        <w:t>4. VN100</w:t>
                      </w:r>
                      <w:r>
                        <w:rPr>
                          <w:rFonts w:ascii="Times New Roman" w:eastAsia="Times New Roman" w:hAnsi="Times New Roman" w:cs="Times New Roman"/>
                          <w:b/>
                        </w:rPr>
                        <w:t>:</w:t>
                      </w:r>
                      <w:r w:rsidRPr="00434E7A">
                        <w:rPr>
                          <w:rFonts w:ascii="Times New Roman" w:eastAsia="Times New Roman" w:hAnsi="Times New Roman" w:cs="Times New Roman"/>
                        </w:rPr>
                        <w:t xml:space="preserve"> </w:t>
                      </w:r>
                      <w:r>
                        <w:rPr>
                          <w:rFonts w:ascii="Times New Roman" w:eastAsia="Times New Roman" w:hAnsi="Times New Roman" w:cs="Times New Roman"/>
                        </w:rPr>
                        <w:t>C</w:t>
                      </w:r>
                      <w:r w:rsidRPr="00434E7A">
                        <w:rPr>
                          <w:rFonts w:ascii="Times New Roman" w:eastAsia="Times New Roman" w:hAnsi="Times New Roman" w:cs="Times New Roman"/>
                        </w:rPr>
                        <w:t>omprises</w:t>
                      </w:r>
                      <w:r>
                        <w:rPr>
                          <w:rFonts w:ascii="Times New Roman" w:eastAsia="Times New Roman" w:hAnsi="Times New Roman" w:cs="Times New Roman"/>
                        </w:rPr>
                        <w:t xml:space="preserve"> </w:t>
                      </w:r>
                      <w:r w:rsidRPr="00434E7A">
                        <w:rPr>
                          <w:rFonts w:ascii="Times New Roman" w:eastAsia="Times New Roman" w:hAnsi="Times New Roman" w:cs="Times New Roman"/>
                        </w:rPr>
                        <w:t xml:space="preserve">all constituents of VN30 and </w:t>
                      </w:r>
                      <w:proofErr w:type="spellStart"/>
                      <w:r w:rsidRPr="00434E7A">
                        <w:rPr>
                          <w:rFonts w:ascii="Times New Roman" w:eastAsia="Times New Roman" w:hAnsi="Times New Roman" w:cs="Times New Roman"/>
                        </w:rPr>
                        <w:t>VNMidcap</w:t>
                      </w:r>
                      <w:proofErr w:type="spellEnd"/>
                      <w:r w:rsidRPr="00434E7A">
                        <w:rPr>
                          <w:rFonts w:ascii="Times New Roman" w:eastAsia="Times New Roman" w:hAnsi="Times New Roman" w:cs="Times New Roman"/>
                        </w:rPr>
                        <w:t>.</w:t>
                      </w:r>
                    </w:p>
                    <w:p w:rsidR="0074250D" w:rsidRPr="009413D6" w:rsidRDefault="0074250D" w:rsidP="00FA53D4">
                      <w:pPr>
                        <w:autoSpaceDE w:val="0"/>
                        <w:autoSpaceDN w:val="0"/>
                        <w:adjustRightInd w:val="0"/>
                        <w:spacing w:before="40" w:after="40"/>
                        <w:ind w:firstLine="360"/>
                        <w:jc w:val="both"/>
                        <w:rPr>
                          <w:rFonts w:ascii="Times New Roman" w:eastAsia="Times New Roman" w:hAnsi="Times New Roman" w:cs="Times New Roman"/>
                        </w:rPr>
                      </w:pPr>
                      <w:r w:rsidRPr="00434E7A">
                        <w:rPr>
                          <w:rFonts w:ascii="Times New Roman" w:eastAsia="Times New Roman" w:hAnsi="Times New Roman" w:cs="Times New Roman"/>
                          <w:b/>
                        </w:rPr>
                        <w:t xml:space="preserve">5. </w:t>
                      </w:r>
                      <w:proofErr w:type="spellStart"/>
                      <w:r w:rsidRPr="00434E7A">
                        <w:rPr>
                          <w:rFonts w:ascii="Times New Roman" w:eastAsia="Times New Roman" w:hAnsi="Times New Roman" w:cs="Times New Roman"/>
                          <w:b/>
                        </w:rPr>
                        <w:t>VNSmallcap</w:t>
                      </w:r>
                      <w:proofErr w:type="spellEnd"/>
                      <w:r w:rsidRPr="009413D6">
                        <w:rPr>
                          <w:rFonts w:ascii="Times New Roman" w:eastAsia="Times New Roman" w:hAnsi="Times New Roman" w:cs="Times New Roman"/>
                          <w:b/>
                        </w:rPr>
                        <w:t>:</w:t>
                      </w:r>
                      <w:r w:rsidRPr="00434E7A">
                        <w:rPr>
                          <w:rFonts w:ascii="Times New Roman" w:eastAsia="Times New Roman" w:hAnsi="Times New Roman" w:cs="Times New Roman"/>
                        </w:rPr>
                        <w:t xml:space="preserve"> </w:t>
                      </w:r>
                      <w:r>
                        <w:rPr>
                          <w:rFonts w:ascii="Times New Roman" w:eastAsia="Times New Roman" w:hAnsi="Times New Roman" w:cs="Times New Roman"/>
                        </w:rPr>
                        <w:t>C</w:t>
                      </w:r>
                      <w:r w:rsidRPr="00434E7A">
                        <w:rPr>
                          <w:rFonts w:ascii="Times New Roman" w:eastAsia="Times New Roman" w:hAnsi="Times New Roman" w:cs="Times New Roman"/>
                        </w:rPr>
                        <w:t>omprises</w:t>
                      </w:r>
                      <w:r>
                        <w:rPr>
                          <w:rFonts w:ascii="Times New Roman" w:eastAsia="Times New Roman" w:hAnsi="Times New Roman" w:cs="Times New Roman"/>
                        </w:rPr>
                        <w:t xml:space="preserve"> </w:t>
                      </w:r>
                      <w:r w:rsidRPr="00434E7A">
                        <w:rPr>
                          <w:rFonts w:ascii="Times New Roman" w:eastAsia="Times New Roman" w:hAnsi="Times New Roman" w:cs="Times New Roman"/>
                        </w:rPr>
                        <w:t xml:space="preserve">all constituents of </w:t>
                      </w:r>
                      <w:proofErr w:type="spellStart"/>
                      <w:r w:rsidRPr="00434E7A">
                        <w:rPr>
                          <w:rFonts w:ascii="Times New Roman" w:eastAsia="Times New Roman" w:hAnsi="Times New Roman" w:cs="Times New Roman"/>
                        </w:rPr>
                        <w:t>VNAllshare</w:t>
                      </w:r>
                      <w:proofErr w:type="spellEnd"/>
                      <w:r w:rsidRPr="00434E7A">
                        <w:rPr>
                          <w:rFonts w:ascii="Times New Roman" w:eastAsia="Times New Roman" w:hAnsi="Times New Roman" w:cs="Times New Roman"/>
                        </w:rPr>
                        <w:t xml:space="preserve"> excluding VN100.</w:t>
                      </w:r>
                    </w:p>
                  </w:txbxContent>
                </v:textbox>
              </v:shape>
            </w:pict>
          </mc:Fallback>
        </mc:AlternateContent>
      </w:r>
    </w:p>
    <w:p w:rsidR="00FA53D4" w:rsidRDefault="00FA53D4" w:rsidP="00FA53D4">
      <w:pPr>
        <w:rPr>
          <w:rFonts w:ascii="Times New Roman" w:hAnsi="Times New Roman" w:cs="Times New Roman"/>
        </w:rPr>
      </w:pPr>
    </w:p>
    <w:p w:rsidR="00FA53D4" w:rsidRPr="006D2F55" w:rsidRDefault="00FA53D4" w:rsidP="00FA53D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059FAF3" wp14:editId="76FD2360">
                <wp:simplePos x="0" y="0"/>
                <wp:positionH relativeFrom="column">
                  <wp:posOffset>299720</wp:posOffset>
                </wp:positionH>
                <wp:positionV relativeFrom="paragraph">
                  <wp:posOffset>5442585</wp:posOffset>
                </wp:positionV>
                <wp:extent cx="6353175" cy="1835150"/>
                <wp:effectExtent l="0" t="0" r="9525"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835150"/>
                        </a:xfrm>
                        <a:prstGeom prst="rect">
                          <a:avLst/>
                        </a:prstGeom>
                        <a:solidFill>
                          <a:srgbClr val="FFFFFF"/>
                        </a:solidFill>
                        <a:ln w="9525">
                          <a:solidFill>
                            <a:srgbClr val="0070C0"/>
                          </a:solidFill>
                          <a:miter lim="800000"/>
                          <a:headEnd/>
                          <a:tailEnd/>
                        </a:ln>
                      </wps:spPr>
                      <wps:txbx>
                        <w:txbxContent>
                          <w:p w:rsidR="0074250D" w:rsidRPr="007A1F61" w:rsidRDefault="0074250D" w:rsidP="00FA53D4">
                            <w:pPr>
                              <w:autoSpaceDE w:val="0"/>
                              <w:autoSpaceDN w:val="0"/>
                              <w:adjustRightInd w:val="0"/>
                              <w:spacing w:before="40" w:after="120"/>
                              <w:jc w:val="center"/>
                              <w:rPr>
                                <w:rFonts w:ascii="Times New Roman" w:eastAsia="Times New Roman" w:hAnsi="Times New Roman" w:cs="Times New Roman"/>
                                <w:b/>
                                <w:color w:val="0070C0"/>
                                <w:sz w:val="32"/>
                                <w:szCs w:val="32"/>
                              </w:rPr>
                            </w:pPr>
                            <w:r w:rsidRPr="007A1F61">
                              <w:rPr>
                                <w:rFonts w:ascii="Times New Roman" w:eastAsia="Times New Roman" w:hAnsi="Times New Roman" w:cs="Times New Roman"/>
                                <w:b/>
                                <w:color w:val="0070C0"/>
                                <w:sz w:val="32"/>
                                <w:szCs w:val="32"/>
                              </w:rPr>
                              <w:t>GLOBAL INDUSTRY CLASSIFICATION STANDARD (GICS®)</w:t>
                            </w:r>
                          </w:p>
                          <w:p w:rsidR="0074250D" w:rsidRPr="009413D6" w:rsidRDefault="0074250D" w:rsidP="00FA53D4">
                            <w:pPr>
                              <w:pStyle w:val="MediumGrid1-Accent21"/>
                              <w:autoSpaceDE w:val="0"/>
                              <w:autoSpaceDN w:val="0"/>
                              <w:adjustRightInd w:val="0"/>
                              <w:spacing w:before="120" w:after="120" w:line="240" w:lineRule="auto"/>
                              <w:ind w:left="0"/>
                              <w:contextualSpacing w:val="0"/>
                              <w:jc w:val="both"/>
                              <w:rPr>
                                <w:rFonts w:ascii="Times New Roman" w:eastAsia="Times New Roman" w:hAnsi="Times New Roman"/>
                                <w:color w:val="auto"/>
                                <w:szCs w:val="22"/>
                              </w:rPr>
                            </w:pPr>
                            <w:r w:rsidRPr="009413D6">
                              <w:rPr>
                                <w:rFonts w:ascii="Times New Roman" w:eastAsia="Times New Roman" w:hAnsi="Times New Roman"/>
                                <w:color w:val="auto"/>
                                <w:szCs w:val="22"/>
                              </w:rPr>
                              <w:t>GICS (Global Industry Classification Standard) is the industry classification standard for securities market which developed and managed by MSCI and S&amp;P. Information regarding to GICS classification shall be managed and disclosed by MSCI and S&amp;P.</w:t>
                            </w:r>
                          </w:p>
                          <w:p w:rsidR="0074250D" w:rsidRPr="009413D6" w:rsidRDefault="0074250D" w:rsidP="00FA53D4">
                            <w:pPr>
                              <w:pStyle w:val="MediumGrid1-Accent21"/>
                              <w:autoSpaceDE w:val="0"/>
                              <w:autoSpaceDN w:val="0"/>
                              <w:adjustRightInd w:val="0"/>
                              <w:spacing w:before="120" w:after="120" w:line="240" w:lineRule="auto"/>
                              <w:ind w:left="0"/>
                              <w:contextualSpacing w:val="0"/>
                              <w:jc w:val="both"/>
                              <w:rPr>
                                <w:rFonts w:ascii="Times New Roman" w:eastAsia="Times New Roman" w:hAnsi="Times New Roman"/>
                                <w:color w:val="auto"/>
                                <w:szCs w:val="22"/>
                              </w:rPr>
                            </w:pPr>
                            <w:r w:rsidRPr="009413D6">
                              <w:rPr>
                                <w:rFonts w:ascii="Times New Roman" w:eastAsia="Times New Roman" w:hAnsi="Times New Roman"/>
                                <w:color w:val="auto"/>
                                <w:szCs w:val="22"/>
                              </w:rPr>
                              <w:t>Securities listing on HOSE shall be classified by MSCI based on GICS</w:t>
                            </w:r>
                            <w:r>
                              <w:rPr>
                                <w:rFonts w:ascii="Times New Roman" w:eastAsia="Times New Roman" w:hAnsi="Times New Roman"/>
                                <w:color w:val="auto"/>
                                <w:szCs w:val="22"/>
                              </w:rPr>
                              <w:t xml:space="preserve"> standard. Information on listed</w:t>
                            </w:r>
                            <w:r w:rsidRPr="009413D6">
                              <w:rPr>
                                <w:rFonts w:ascii="Times New Roman" w:eastAsia="Times New Roman" w:hAnsi="Times New Roman"/>
                                <w:color w:val="auto"/>
                                <w:szCs w:val="22"/>
                              </w:rPr>
                              <w:t xml:space="preserve"> companies </w:t>
                            </w:r>
                            <w:r>
                              <w:rPr>
                                <w:rFonts w:ascii="Times New Roman" w:eastAsia="Times New Roman" w:hAnsi="Times New Roman"/>
                                <w:color w:val="auto"/>
                                <w:szCs w:val="22"/>
                              </w:rPr>
                              <w:t>is</w:t>
                            </w:r>
                            <w:r w:rsidRPr="009413D6">
                              <w:rPr>
                                <w:rFonts w:ascii="Times New Roman" w:eastAsia="Times New Roman" w:hAnsi="Times New Roman"/>
                                <w:color w:val="auto"/>
                                <w:szCs w:val="22"/>
                              </w:rPr>
                              <w:t xml:space="preserve"> published on HOSE’s website: </w:t>
                            </w:r>
                            <w:hyperlink r:id="rId30" w:history="1">
                              <w:r w:rsidRPr="009413D6">
                                <w:rPr>
                                  <w:rFonts w:ascii="Times New Roman" w:eastAsia="Times New Roman" w:hAnsi="Times New Roman"/>
                                  <w:color w:val="auto"/>
                                  <w:szCs w:val="22"/>
                                </w:rPr>
                                <w:t>www.hsx.vn</w:t>
                              </w:r>
                            </w:hyperlink>
                            <w:r>
                              <w:rPr>
                                <w:rFonts w:ascii="Times New Roman" w:eastAsia="Times New Roman" w:hAnsi="Times New Roman"/>
                                <w:color w:val="auto"/>
                                <w:szCs w:val="22"/>
                              </w:rPr>
                              <w:t>.</w:t>
                            </w:r>
                          </w:p>
                          <w:p w:rsidR="0074250D" w:rsidRPr="009413D6" w:rsidRDefault="0074250D" w:rsidP="00FA53D4">
                            <w:pPr>
                              <w:pStyle w:val="MediumGrid1-Accent21"/>
                              <w:autoSpaceDE w:val="0"/>
                              <w:autoSpaceDN w:val="0"/>
                              <w:adjustRightInd w:val="0"/>
                              <w:spacing w:before="120" w:after="120" w:line="240" w:lineRule="auto"/>
                              <w:ind w:left="0"/>
                              <w:contextualSpacing w:val="0"/>
                              <w:jc w:val="both"/>
                              <w:rPr>
                                <w:rFonts w:ascii="Times New Roman" w:eastAsia="Times New Roman" w:hAnsi="Times New Roman"/>
                                <w:color w:val="auto"/>
                                <w:szCs w:val="22"/>
                              </w:rPr>
                            </w:pPr>
                            <w:r w:rsidRPr="009413D6">
                              <w:rPr>
                                <w:rFonts w:ascii="Times New Roman" w:eastAsia="Times New Roman" w:hAnsi="Times New Roman"/>
                                <w:color w:val="auto"/>
                                <w:szCs w:val="22"/>
                              </w:rPr>
                              <w:t xml:space="preserve">Industrial classification update of constituent stocks shall be made semi-annually on the </w:t>
                            </w:r>
                            <w:r>
                              <w:rPr>
                                <w:rFonts w:ascii="Times New Roman" w:eastAsia="Times New Roman" w:hAnsi="Times New Roman"/>
                                <w:color w:val="auto"/>
                                <w:szCs w:val="22"/>
                              </w:rPr>
                              <w:t xml:space="preserve">same date as </w:t>
                            </w:r>
                            <w:r w:rsidRPr="001821B4">
                              <w:rPr>
                                <w:rFonts w:ascii="Times New Roman" w:eastAsia="Times New Roman" w:hAnsi="Times New Roman"/>
                                <w:color w:val="auto"/>
                                <w:szCs w:val="22"/>
                              </w:rPr>
                              <w:t>Review Date</w:t>
                            </w:r>
                            <w:r>
                              <w:rPr>
                                <w:rFonts w:ascii="Times New Roman" w:eastAsia="Times New Roman" w:hAnsi="Times New Roman"/>
                                <w:color w:val="auto"/>
                                <w:szCs w:val="22"/>
                              </w:rPr>
                              <w:t>.</w:t>
                            </w:r>
                          </w:p>
                          <w:p w:rsidR="0074250D" w:rsidRPr="006C3ECB" w:rsidRDefault="0074250D" w:rsidP="00FA53D4">
                            <w:pPr>
                              <w:pStyle w:val="ListParagraph"/>
                              <w:autoSpaceDE w:val="0"/>
                              <w:autoSpaceDN w:val="0"/>
                              <w:adjustRightInd w:val="0"/>
                              <w:spacing w:before="120" w:after="120" w:line="240" w:lineRule="auto"/>
                              <w:ind w:left="284"/>
                              <w:contextualSpacing w:val="0"/>
                              <w:rPr>
                                <w:rFonts w:ascii="Times New Roman" w:eastAsia="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9FAF3" id="_x0000_s1028" type="#_x0000_t202" style="position:absolute;margin-left:23.6pt;margin-top:428.55pt;width:500.2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" strokecolor="#0070c0">
                <v:textbox>
                  <w:txbxContent>
                    <w:p w:rsidR="0074250D" w:rsidRPr="007A1F61" w:rsidRDefault="0074250D" w:rsidP="00FA53D4">
                      <w:pPr>
                        <w:autoSpaceDE w:val="0"/>
                        <w:autoSpaceDN w:val="0"/>
                        <w:adjustRightInd w:val="0"/>
                        <w:spacing w:before="40" w:after="120"/>
                        <w:jc w:val="center"/>
                        <w:rPr>
                          <w:rFonts w:ascii="Times New Roman" w:eastAsia="Times New Roman" w:hAnsi="Times New Roman" w:cs="Times New Roman"/>
                          <w:b/>
                          <w:color w:val="0070C0"/>
                          <w:sz w:val="32"/>
                          <w:szCs w:val="32"/>
                        </w:rPr>
                      </w:pPr>
                      <w:r w:rsidRPr="007A1F61">
                        <w:rPr>
                          <w:rFonts w:ascii="Times New Roman" w:eastAsia="Times New Roman" w:hAnsi="Times New Roman" w:cs="Times New Roman"/>
                          <w:b/>
                          <w:color w:val="0070C0"/>
                          <w:sz w:val="32"/>
                          <w:szCs w:val="32"/>
                        </w:rPr>
                        <w:t>GLOBAL INDUSTRY CLASSIFICATION STANDARD (GICS®)</w:t>
                      </w:r>
                    </w:p>
                    <w:p w:rsidR="0074250D" w:rsidRPr="009413D6" w:rsidRDefault="0074250D" w:rsidP="00FA53D4">
                      <w:pPr>
                        <w:pStyle w:val="MediumGrid1-Accent21"/>
                        <w:autoSpaceDE w:val="0"/>
                        <w:autoSpaceDN w:val="0"/>
                        <w:adjustRightInd w:val="0"/>
                        <w:spacing w:before="120" w:after="120" w:line="240" w:lineRule="auto"/>
                        <w:ind w:left="0"/>
                        <w:contextualSpacing w:val="0"/>
                        <w:jc w:val="both"/>
                        <w:rPr>
                          <w:rFonts w:ascii="Times New Roman" w:eastAsia="Times New Roman" w:hAnsi="Times New Roman"/>
                          <w:color w:val="auto"/>
                          <w:szCs w:val="22"/>
                        </w:rPr>
                      </w:pPr>
                      <w:r w:rsidRPr="009413D6">
                        <w:rPr>
                          <w:rFonts w:ascii="Times New Roman" w:eastAsia="Times New Roman" w:hAnsi="Times New Roman"/>
                          <w:color w:val="auto"/>
                          <w:szCs w:val="22"/>
                        </w:rPr>
                        <w:t>GICS (Global Industry Classification Standard) is the industry classification standard for securities market which developed and managed by MSCI and S&amp;P. Information regarding to GICS classification shall be managed and disclosed by MSCI and S&amp;P.</w:t>
                      </w:r>
                    </w:p>
                    <w:p w:rsidR="0074250D" w:rsidRPr="009413D6" w:rsidRDefault="0074250D" w:rsidP="00FA53D4">
                      <w:pPr>
                        <w:pStyle w:val="MediumGrid1-Accent21"/>
                        <w:autoSpaceDE w:val="0"/>
                        <w:autoSpaceDN w:val="0"/>
                        <w:adjustRightInd w:val="0"/>
                        <w:spacing w:before="120" w:after="120" w:line="240" w:lineRule="auto"/>
                        <w:ind w:left="0"/>
                        <w:contextualSpacing w:val="0"/>
                        <w:jc w:val="both"/>
                        <w:rPr>
                          <w:rFonts w:ascii="Times New Roman" w:eastAsia="Times New Roman" w:hAnsi="Times New Roman"/>
                          <w:color w:val="auto"/>
                          <w:szCs w:val="22"/>
                        </w:rPr>
                      </w:pPr>
                      <w:r w:rsidRPr="009413D6">
                        <w:rPr>
                          <w:rFonts w:ascii="Times New Roman" w:eastAsia="Times New Roman" w:hAnsi="Times New Roman"/>
                          <w:color w:val="auto"/>
                          <w:szCs w:val="22"/>
                        </w:rPr>
                        <w:t>Securities listing on HOSE shall be classified by MSCI based on GICS</w:t>
                      </w:r>
                      <w:r>
                        <w:rPr>
                          <w:rFonts w:ascii="Times New Roman" w:eastAsia="Times New Roman" w:hAnsi="Times New Roman"/>
                          <w:color w:val="auto"/>
                          <w:szCs w:val="22"/>
                        </w:rPr>
                        <w:t xml:space="preserve"> standard. Information on listed</w:t>
                      </w:r>
                      <w:r w:rsidRPr="009413D6">
                        <w:rPr>
                          <w:rFonts w:ascii="Times New Roman" w:eastAsia="Times New Roman" w:hAnsi="Times New Roman"/>
                          <w:color w:val="auto"/>
                          <w:szCs w:val="22"/>
                        </w:rPr>
                        <w:t xml:space="preserve"> companies </w:t>
                      </w:r>
                      <w:r>
                        <w:rPr>
                          <w:rFonts w:ascii="Times New Roman" w:eastAsia="Times New Roman" w:hAnsi="Times New Roman"/>
                          <w:color w:val="auto"/>
                          <w:szCs w:val="22"/>
                        </w:rPr>
                        <w:t>is</w:t>
                      </w:r>
                      <w:r w:rsidRPr="009413D6">
                        <w:rPr>
                          <w:rFonts w:ascii="Times New Roman" w:eastAsia="Times New Roman" w:hAnsi="Times New Roman"/>
                          <w:color w:val="auto"/>
                          <w:szCs w:val="22"/>
                        </w:rPr>
                        <w:t xml:space="preserve"> published on HOSE’s website: </w:t>
                      </w:r>
                      <w:hyperlink r:id="rId31" w:history="1">
                        <w:r w:rsidRPr="009413D6">
                          <w:rPr>
                            <w:rFonts w:ascii="Times New Roman" w:eastAsia="Times New Roman" w:hAnsi="Times New Roman"/>
                            <w:color w:val="auto"/>
                            <w:szCs w:val="22"/>
                          </w:rPr>
                          <w:t>www.hsx.vn</w:t>
                        </w:r>
                      </w:hyperlink>
                      <w:r>
                        <w:rPr>
                          <w:rFonts w:ascii="Times New Roman" w:eastAsia="Times New Roman" w:hAnsi="Times New Roman"/>
                          <w:color w:val="auto"/>
                          <w:szCs w:val="22"/>
                        </w:rPr>
                        <w:t>.</w:t>
                      </w:r>
                    </w:p>
                    <w:p w:rsidR="0074250D" w:rsidRPr="009413D6" w:rsidRDefault="0074250D" w:rsidP="00FA53D4">
                      <w:pPr>
                        <w:pStyle w:val="MediumGrid1-Accent21"/>
                        <w:autoSpaceDE w:val="0"/>
                        <w:autoSpaceDN w:val="0"/>
                        <w:adjustRightInd w:val="0"/>
                        <w:spacing w:before="120" w:after="120" w:line="240" w:lineRule="auto"/>
                        <w:ind w:left="0"/>
                        <w:contextualSpacing w:val="0"/>
                        <w:jc w:val="both"/>
                        <w:rPr>
                          <w:rFonts w:ascii="Times New Roman" w:eastAsia="Times New Roman" w:hAnsi="Times New Roman"/>
                          <w:color w:val="auto"/>
                          <w:szCs w:val="22"/>
                        </w:rPr>
                      </w:pPr>
                      <w:r w:rsidRPr="009413D6">
                        <w:rPr>
                          <w:rFonts w:ascii="Times New Roman" w:eastAsia="Times New Roman" w:hAnsi="Times New Roman"/>
                          <w:color w:val="auto"/>
                          <w:szCs w:val="22"/>
                        </w:rPr>
                        <w:t xml:space="preserve">Industrial classification update of constituent stocks shall be made semi-annually on the </w:t>
                      </w:r>
                      <w:r>
                        <w:rPr>
                          <w:rFonts w:ascii="Times New Roman" w:eastAsia="Times New Roman" w:hAnsi="Times New Roman"/>
                          <w:color w:val="auto"/>
                          <w:szCs w:val="22"/>
                        </w:rPr>
                        <w:t xml:space="preserve">same date as </w:t>
                      </w:r>
                      <w:r w:rsidRPr="001821B4">
                        <w:rPr>
                          <w:rFonts w:ascii="Times New Roman" w:eastAsia="Times New Roman" w:hAnsi="Times New Roman"/>
                          <w:color w:val="auto"/>
                          <w:szCs w:val="22"/>
                        </w:rPr>
                        <w:t>Review Date</w:t>
                      </w:r>
                      <w:r>
                        <w:rPr>
                          <w:rFonts w:ascii="Times New Roman" w:eastAsia="Times New Roman" w:hAnsi="Times New Roman"/>
                          <w:color w:val="auto"/>
                          <w:szCs w:val="22"/>
                        </w:rPr>
                        <w:t>.</w:t>
                      </w:r>
                    </w:p>
                    <w:p w:rsidR="0074250D" w:rsidRPr="006C3ECB" w:rsidRDefault="0074250D" w:rsidP="00FA53D4">
                      <w:pPr>
                        <w:pStyle w:val="ListParagraph"/>
                        <w:autoSpaceDE w:val="0"/>
                        <w:autoSpaceDN w:val="0"/>
                        <w:adjustRightInd w:val="0"/>
                        <w:spacing w:before="120" w:after="120" w:line="240" w:lineRule="auto"/>
                        <w:ind w:left="284"/>
                        <w:contextualSpacing w:val="0"/>
                        <w:rPr>
                          <w:rFonts w:ascii="Times New Roman" w:eastAsia="Times New Roman" w:hAnsi="Times New Roman" w:cs="Times New Roman"/>
                        </w:rPr>
                      </w:pPr>
                    </w:p>
                  </w:txbxContent>
                </v:textbox>
              </v:shape>
            </w:pict>
          </mc:Fallback>
        </mc:AlternateContent>
      </w:r>
    </w:p>
    <w:p w:rsidR="00FA53D4" w:rsidRPr="006D2F55" w:rsidRDefault="00FA53D4" w:rsidP="00FA53D4">
      <w:pPr>
        <w:rPr>
          <w:rFonts w:ascii="Times New Roman" w:hAnsi="Times New Roman" w:cs="Times New Roman"/>
        </w:rPr>
      </w:pPr>
    </w:p>
    <w:p w:rsidR="00FA53D4" w:rsidRDefault="00FA53D4" w:rsidP="00FA53D4">
      <w:pPr>
        <w:rPr>
          <w:rFonts w:ascii="Times New Roman" w:hAnsi="Times New Roman" w:cs="Times New Roman"/>
        </w:rPr>
      </w:pPr>
    </w:p>
    <w:p w:rsidR="00FA53D4" w:rsidRDefault="00FA53D4" w:rsidP="00EA6C3A">
      <w:pPr>
        <w:rPr>
          <w:rFonts w:ascii="Times New Roman" w:hAnsi="Times New Roman" w:cs="Times New Roman"/>
        </w:rPr>
      </w:pPr>
    </w:p>
    <w:sectPr w:rsidR="00FA53D4" w:rsidSect="005266FC">
      <w:footerReference w:type="default" r:id="rId32"/>
      <w:pgSz w:w="11909" w:h="16834" w:code="9"/>
      <w:pgMar w:top="432" w:right="389" w:bottom="432" w:left="432" w:header="86"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C50" w:rsidRDefault="003C7C50" w:rsidP="00A13865">
      <w:pPr>
        <w:spacing w:after="0" w:line="240" w:lineRule="auto"/>
      </w:pPr>
      <w:r>
        <w:separator/>
      </w:r>
    </w:p>
  </w:endnote>
  <w:endnote w:type="continuationSeparator" w:id="0">
    <w:p w:rsidR="003C7C50" w:rsidRDefault="003C7C50" w:rsidP="00A1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50D" w:rsidRDefault="0074250D" w:rsidP="00D77B5E">
    <w:pPr>
      <w:pStyle w:val="Footer"/>
      <w:tabs>
        <w:tab w:val="clear" w:pos="4680"/>
        <w:tab w:val="clear" w:pos="9360"/>
        <w:tab w:val="left" w:pos="0"/>
        <w:tab w:val="right" w:pos="9072"/>
        <w:tab w:val="right" w:pos="9639"/>
      </w:tabs>
      <w:rPr>
        <w:sz w:val="16"/>
      </w:rPr>
    </w:pPr>
    <w:r>
      <w:rPr>
        <w:noProof/>
        <w:sz w:val="16"/>
      </w:rPr>
      <mc:AlternateContent>
        <mc:Choice Requires="wps">
          <w:drawing>
            <wp:anchor distT="4294967295" distB="4294967295" distL="114300" distR="114300" simplePos="0" relativeHeight="251660288" behindDoc="0" locked="0" layoutInCell="1" allowOverlap="1">
              <wp:simplePos x="0" y="0"/>
              <wp:positionH relativeFrom="column">
                <wp:posOffset>20320</wp:posOffset>
              </wp:positionH>
              <wp:positionV relativeFrom="paragraph">
                <wp:posOffset>57784</wp:posOffset>
              </wp:positionV>
              <wp:extent cx="650875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70BD1" id="_x0000_t32" coordsize="21600,21600" o:spt="32" o:oned="t" path="m,l21600,21600e" filled="f">
              <v:path arrowok="t" fillok="f" o:connecttype="none"/>
              <o:lock v:ext="edit" shapetype="t"/>
            </v:shapetype>
            <v:shape id="AutoShape 1" o:spid="_x0000_s1026" type="#_x0000_t32" style="position:absolute;margin-left:1.6pt;margin-top:4.55pt;width:51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dx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"/>
          </w:pict>
        </mc:Fallback>
      </mc:AlternateContent>
    </w:r>
    <w:r>
      <w:rPr>
        <w:noProof/>
        <w:sz w:val="16"/>
      </w:rPr>
      <w:drawing>
        <wp:anchor distT="0" distB="0" distL="114300" distR="114300" simplePos="0" relativeHeight="251659264" behindDoc="0" locked="0" layoutInCell="1" allowOverlap="1">
          <wp:simplePos x="0" y="0"/>
          <wp:positionH relativeFrom="column">
            <wp:posOffset>6583680</wp:posOffset>
          </wp:positionH>
          <wp:positionV relativeFrom="paragraph">
            <wp:posOffset>116205</wp:posOffset>
          </wp:positionV>
          <wp:extent cx="456565" cy="457200"/>
          <wp:effectExtent l="19050" t="0" r="63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6565" cy="457200"/>
                  </a:xfrm>
                  <a:prstGeom prst="rect">
                    <a:avLst/>
                  </a:prstGeom>
                  <a:noFill/>
                  <a:ln w="9525">
                    <a:noFill/>
                    <a:miter lim="800000"/>
                    <a:headEnd/>
                    <a:tailEnd/>
                  </a:ln>
                </pic:spPr>
              </pic:pic>
            </a:graphicData>
          </a:graphic>
        </wp:anchor>
      </w:drawing>
    </w:r>
    <w:r>
      <w:rPr>
        <w:sz w:val="16"/>
      </w:rPr>
      <w:tab/>
    </w:r>
  </w:p>
  <w:p w:rsidR="0074250D" w:rsidRDefault="0074250D" w:rsidP="005266FC">
    <w:pPr>
      <w:pStyle w:val="Footer"/>
      <w:tabs>
        <w:tab w:val="clear" w:pos="4680"/>
        <w:tab w:val="clear" w:pos="9360"/>
        <w:tab w:val="right" w:pos="10260"/>
      </w:tabs>
      <w:ind w:right="882"/>
      <w:jc w:val="center"/>
      <w:rPr>
        <w:rFonts w:ascii="Times New Roman" w:hAnsi="Times New Roman" w:cs="Times New Roman"/>
        <w:b/>
        <w:sz w:val="18"/>
        <w:szCs w:val="18"/>
      </w:rPr>
    </w:pPr>
    <w:r>
      <w:rPr>
        <w:rFonts w:ascii="Times New Roman" w:hAnsi="Times New Roman" w:cs="Times New Roman"/>
        <w:b/>
        <w:sz w:val="18"/>
        <w:szCs w:val="18"/>
      </w:rPr>
      <w:t xml:space="preserve">                                                                                                                                                                                </w:t>
    </w:r>
    <w:proofErr w:type="spellStart"/>
    <w:r>
      <w:rPr>
        <w:rFonts w:ascii="Times New Roman" w:hAnsi="Times New Roman" w:cs="Times New Roman"/>
        <w:b/>
        <w:sz w:val="18"/>
        <w:szCs w:val="18"/>
      </w:rPr>
      <w:t>Hochiminh</w:t>
    </w:r>
    <w:proofErr w:type="spellEnd"/>
    <w:r>
      <w:rPr>
        <w:rFonts w:ascii="Times New Roman" w:hAnsi="Times New Roman" w:cs="Times New Roman"/>
        <w:b/>
        <w:sz w:val="18"/>
        <w:szCs w:val="18"/>
      </w:rPr>
      <w:t xml:space="preserve"> Stock </w:t>
    </w:r>
    <w:proofErr w:type="spellStart"/>
    <w:r>
      <w:rPr>
        <w:rFonts w:ascii="Times New Roman" w:hAnsi="Times New Roman" w:cs="Times New Roman"/>
        <w:b/>
        <w:sz w:val="18"/>
        <w:szCs w:val="18"/>
      </w:rPr>
      <w:t>xchange</w:t>
    </w:r>
    <w:proofErr w:type="spellEnd"/>
    <w:r>
      <w:rPr>
        <w:rFonts w:ascii="Times New Roman" w:hAnsi="Times New Roman" w:cs="Times New Roman"/>
        <w:b/>
        <w:sz w:val="18"/>
        <w:szCs w:val="18"/>
      </w:rPr>
      <w:tab/>
    </w:r>
  </w:p>
  <w:p w:rsidR="0074250D" w:rsidRPr="005266FC" w:rsidRDefault="0074250D" w:rsidP="005266FC">
    <w:pPr>
      <w:pStyle w:val="Footer"/>
      <w:tabs>
        <w:tab w:val="clear" w:pos="4680"/>
        <w:tab w:val="clear" w:pos="9360"/>
        <w:tab w:val="right" w:pos="10260"/>
      </w:tabs>
      <w:ind w:right="882"/>
      <w:jc w:val="center"/>
      <w:rPr>
        <w:rFonts w:ascii="Times New Roman" w:hAnsi="Times New Roman" w:cs="Times New Roman"/>
        <w:b/>
        <w:sz w:val="18"/>
        <w:szCs w:val="18"/>
      </w:rPr>
    </w:pPr>
    <w:r>
      <w:rPr>
        <w:rFonts w:ascii="Times New Roman" w:hAnsi="Times New Roman" w:cs="Times New Roman"/>
        <w:sz w:val="18"/>
        <w:szCs w:val="18"/>
      </w:rPr>
      <w:t xml:space="preserve">                                                                                                                                             16 </w:t>
    </w:r>
    <w:r w:rsidRPr="000C7FD2">
      <w:rPr>
        <w:rFonts w:ascii="Times New Roman" w:hAnsi="Times New Roman" w:cs="Times New Roman"/>
        <w:sz w:val="18"/>
        <w:szCs w:val="18"/>
      </w:rPr>
      <w:t>V</w:t>
    </w:r>
    <w:r>
      <w:rPr>
        <w:rFonts w:ascii="Times New Roman" w:hAnsi="Times New Roman" w:cs="Times New Roman"/>
        <w:sz w:val="18"/>
        <w:szCs w:val="18"/>
      </w:rPr>
      <w:t xml:space="preserve">o </w:t>
    </w:r>
    <w:r w:rsidRPr="000C7FD2">
      <w:rPr>
        <w:rFonts w:ascii="Times New Roman" w:hAnsi="Times New Roman" w:cs="Times New Roman"/>
        <w:sz w:val="18"/>
        <w:szCs w:val="18"/>
      </w:rPr>
      <w:t>V</w:t>
    </w:r>
    <w:r>
      <w:rPr>
        <w:rFonts w:ascii="Times New Roman" w:hAnsi="Times New Roman" w:cs="Times New Roman"/>
        <w:sz w:val="18"/>
        <w:szCs w:val="18"/>
      </w:rPr>
      <w:t>a</w:t>
    </w:r>
    <w:r w:rsidRPr="000C7FD2">
      <w:rPr>
        <w:rFonts w:ascii="Times New Roman" w:hAnsi="Times New Roman" w:cs="Times New Roman"/>
        <w:sz w:val="18"/>
        <w:szCs w:val="18"/>
      </w:rPr>
      <w:t xml:space="preserve">n </w:t>
    </w:r>
    <w:proofErr w:type="spellStart"/>
    <w:r w:rsidRPr="000C7FD2">
      <w:rPr>
        <w:rFonts w:ascii="Times New Roman" w:hAnsi="Times New Roman" w:cs="Times New Roman"/>
        <w:sz w:val="18"/>
        <w:szCs w:val="18"/>
      </w:rPr>
      <w:t>Ki</w:t>
    </w:r>
    <w:r>
      <w:rPr>
        <w:rFonts w:ascii="Times New Roman" w:hAnsi="Times New Roman" w:cs="Times New Roman"/>
        <w:sz w:val="18"/>
        <w:szCs w:val="18"/>
      </w:rPr>
      <w:t>e</w:t>
    </w:r>
    <w:r w:rsidRPr="000C7FD2">
      <w:rPr>
        <w:rFonts w:ascii="Times New Roman" w:hAnsi="Times New Roman" w:cs="Times New Roman"/>
        <w:sz w:val="18"/>
        <w:szCs w:val="18"/>
      </w:rPr>
      <w:t>t</w:t>
    </w:r>
    <w:proofErr w:type="spellEnd"/>
    <w:r>
      <w:rPr>
        <w:rFonts w:ascii="Times New Roman" w:hAnsi="Times New Roman" w:cs="Times New Roman"/>
        <w:sz w:val="18"/>
        <w:szCs w:val="18"/>
      </w:rPr>
      <w:t xml:space="preserve"> Street</w:t>
    </w:r>
    <w:r w:rsidRPr="000C7FD2">
      <w:rPr>
        <w:rFonts w:ascii="Times New Roman" w:hAnsi="Times New Roman" w:cs="Times New Roman"/>
        <w:sz w:val="18"/>
        <w:szCs w:val="18"/>
      </w:rPr>
      <w:t xml:space="preserve">, </w:t>
    </w:r>
    <w:r>
      <w:rPr>
        <w:rFonts w:ascii="Times New Roman" w:hAnsi="Times New Roman" w:cs="Times New Roman"/>
        <w:sz w:val="18"/>
        <w:szCs w:val="18"/>
      </w:rPr>
      <w:t>District 1</w:t>
    </w:r>
    <w:r w:rsidRPr="000C7FD2">
      <w:rPr>
        <w:rFonts w:ascii="Times New Roman" w:hAnsi="Times New Roman" w:cs="Times New Roman"/>
        <w:sz w:val="18"/>
        <w:szCs w:val="18"/>
      </w:rPr>
      <w:t xml:space="preserve">, </w:t>
    </w:r>
    <w:r>
      <w:rPr>
        <w:rFonts w:ascii="Times New Roman" w:hAnsi="Times New Roman" w:cs="Times New Roman"/>
        <w:sz w:val="18"/>
        <w:szCs w:val="18"/>
      </w:rPr>
      <w:t>Ho Chi Minh City</w:t>
    </w:r>
  </w:p>
  <w:p w:rsidR="0074250D" w:rsidRDefault="0074250D" w:rsidP="003527F4">
    <w:pPr>
      <w:pStyle w:val="Footer"/>
      <w:tabs>
        <w:tab w:val="clear" w:pos="4680"/>
        <w:tab w:val="clear" w:pos="9360"/>
        <w:tab w:val="right" w:pos="10260"/>
      </w:tabs>
      <w:ind w:left="720"/>
      <w:rPr>
        <w:rFonts w:ascii="Times New Roman" w:hAnsi="Times New Roman" w:cs="Times New Roman"/>
        <w:sz w:val="18"/>
        <w:szCs w:val="18"/>
      </w:rPr>
    </w:pPr>
    <w:r w:rsidRPr="000C7FD2">
      <w:rPr>
        <w:rFonts w:ascii="Times New Roman" w:hAnsi="Times New Roman" w:cs="Times New Roman"/>
        <w:sz w:val="18"/>
        <w:szCs w:val="18"/>
      </w:rPr>
      <w:tab/>
    </w:r>
    <w:r>
      <w:rPr>
        <w:rFonts w:ascii="Times New Roman" w:hAnsi="Times New Roman" w:cs="Times New Roman"/>
        <w:sz w:val="18"/>
        <w:szCs w:val="18"/>
      </w:rPr>
      <w:t>Phone</w:t>
    </w:r>
    <w:r w:rsidRPr="000C7FD2">
      <w:rPr>
        <w:rFonts w:ascii="Times New Roman" w:hAnsi="Times New Roman" w:cs="Times New Roman"/>
        <w:sz w:val="18"/>
        <w:szCs w:val="18"/>
      </w:rPr>
      <w:t>: (84.8) 3821.7713 - Fax: (84.8) 3821.7452</w:t>
    </w:r>
  </w:p>
  <w:p w:rsidR="0074250D" w:rsidRPr="000C7FD2" w:rsidRDefault="0074250D" w:rsidP="003527F4">
    <w:pPr>
      <w:pStyle w:val="Footer"/>
      <w:tabs>
        <w:tab w:val="clear" w:pos="4680"/>
        <w:tab w:val="clear" w:pos="9360"/>
        <w:tab w:val="right" w:pos="10260"/>
      </w:tabs>
      <w:ind w:left="720"/>
      <w:rPr>
        <w:rFonts w:ascii="Times New Roman" w:hAnsi="Times New Roman" w:cs="Times New Roman"/>
        <w:sz w:val="18"/>
        <w:szCs w:val="18"/>
      </w:rPr>
    </w:pPr>
    <w:r w:rsidRPr="000C7FD2">
      <w:rPr>
        <w:rFonts w:ascii="Times New Roman" w:hAnsi="Times New Roman" w:cs="Times New Roman"/>
        <w:sz w:val="18"/>
        <w:szCs w:val="18"/>
      </w:rPr>
      <w:tab/>
      <w:t>Website: www.hsx.vn</w:t>
    </w:r>
  </w:p>
  <w:p w:rsidR="0074250D" w:rsidRDefault="0074250D" w:rsidP="000C7FD2">
    <w:pPr>
      <w:pStyle w:val="Footer"/>
      <w:tabs>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C50" w:rsidRDefault="003C7C50" w:rsidP="00A13865">
      <w:pPr>
        <w:spacing w:after="0" w:line="240" w:lineRule="auto"/>
      </w:pPr>
      <w:r>
        <w:separator/>
      </w:r>
    </w:p>
  </w:footnote>
  <w:footnote w:type="continuationSeparator" w:id="0">
    <w:p w:rsidR="003C7C50" w:rsidRDefault="003C7C50" w:rsidP="00A13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3D3"/>
    <w:multiLevelType w:val="multilevel"/>
    <w:tmpl w:val="71FE75F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1B2702"/>
    <w:multiLevelType w:val="multilevel"/>
    <w:tmpl w:val="EF96FD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color w:val="auto"/>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D457A75"/>
    <w:multiLevelType w:val="hybridMultilevel"/>
    <w:tmpl w:val="7D5E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81AFB"/>
    <w:multiLevelType w:val="hybridMultilevel"/>
    <w:tmpl w:val="A54A8DD6"/>
    <w:lvl w:ilvl="0" w:tplc="04090005">
      <w:start w:val="1"/>
      <w:numFmt w:val="bullet"/>
      <w:lvlText w:val=""/>
      <w:lvlJc w:val="left"/>
      <w:pPr>
        <w:ind w:left="2718" w:hanging="360"/>
      </w:pPr>
      <w:rPr>
        <w:rFonts w:ascii="Wingdings" w:hAnsi="Wingdings" w:hint="default"/>
      </w:rPr>
    </w:lvl>
    <w:lvl w:ilvl="1" w:tplc="04090019" w:tentative="1">
      <w:start w:val="1"/>
      <w:numFmt w:val="lowerLetter"/>
      <w:lvlText w:val="%2."/>
      <w:lvlJc w:val="left"/>
      <w:pPr>
        <w:ind w:left="3438" w:hanging="360"/>
      </w:pPr>
    </w:lvl>
    <w:lvl w:ilvl="2" w:tplc="0409001B" w:tentative="1">
      <w:start w:val="1"/>
      <w:numFmt w:val="lowerRoman"/>
      <w:lvlText w:val="%3."/>
      <w:lvlJc w:val="right"/>
      <w:pPr>
        <w:ind w:left="4158" w:hanging="180"/>
      </w:pPr>
    </w:lvl>
    <w:lvl w:ilvl="3" w:tplc="0409000F" w:tentative="1">
      <w:start w:val="1"/>
      <w:numFmt w:val="decimal"/>
      <w:lvlText w:val="%4."/>
      <w:lvlJc w:val="left"/>
      <w:pPr>
        <w:ind w:left="4878" w:hanging="360"/>
      </w:pPr>
    </w:lvl>
    <w:lvl w:ilvl="4" w:tplc="04090019" w:tentative="1">
      <w:start w:val="1"/>
      <w:numFmt w:val="lowerLetter"/>
      <w:lvlText w:val="%5."/>
      <w:lvlJc w:val="left"/>
      <w:pPr>
        <w:ind w:left="5598" w:hanging="360"/>
      </w:pPr>
    </w:lvl>
    <w:lvl w:ilvl="5" w:tplc="0409001B" w:tentative="1">
      <w:start w:val="1"/>
      <w:numFmt w:val="lowerRoman"/>
      <w:lvlText w:val="%6."/>
      <w:lvlJc w:val="right"/>
      <w:pPr>
        <w:ind w:left="6318" w:hanging="180"/>
      </w:pPr>
    </w:lvl>
    <w:lvl w:ilvl="6" w:tplc="0409000F" w:tentative="1">
      <w:start w:val="1"/>
      <w:numFmt w:val="decimal"/>
      <w:lvlText w:val="%7."/>
      <w:lvlJc w:val="left"/>
      <w:pPr>
        <w:ind w:left="7038" w:hanging="360"/>
      </w:pPr>
    </w:lvl>
    <w:lvl w:ilvl="7" w:tplc="04090019" w:tentative="1">
      <w:start w:val="1"/>
      <w:numFmt w:val="lowerLetter"/>
      <w:lvlText w:val="%8."/>
      <w:lvlJc w:val="left"/>
      <w:pPr>
        <w:ind w:left="7758" w:hanging="360"/>
      </w:pPr>
    </w:lvl>
    <w:lvl w:ilvl="8" w:tplc="0409001B" w:tentative="1">
      <w:start w:val="1"/>
      <w:numFmt w:val="lowerRoman"/>
      <w:lvlText w:val="%9."/>
      <w:lvlJc w:val="right"/>
      <w:pPr>
        <w:ind w:left="8478" w:hanging="180"/>
      </w:pPr>
    </w:lvl>
  </w:abstractNum>
  <w:abstractNum w:abstractNumId="4" w15:restartNumberingAfterBreak="0">
    <w:nsid w:val="3D1632D7"/>
    <w:multiLevelType w:val="hybridMultilevel"/>
    <w:tmpl w:val="551A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60CB5"/>
    <w:multiLevelType w:val="hybridMultilevel"/>
    <w:tmpl w:val="E4F2BBAE"/>
    <w:lvl w:ilvl="0" w:tplc="8BE8A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D5B62"/>
    <w:multiLevelType w:val="hybridMultilevel"/>
    <w:tmpl w:val="31945728"/>
    <w:lvl w:ilvl="0" w:tplc="E9D0764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43"/>
    <w:rsid w:val="0000480E"/>
    <w:rsid w:val="00006CAA"/>
    <w:rsid w:val="00007DD0"/>
    <w:rsid w:val="00010C0C"/>
    <w:rsid w:val="00015B84"/>
    <w:rsid w:val="00015C86"/>
    <w:rsid w:val="0002216C"/>
    <w:rsid w:val="00022FED"/>
    <w:rsid w:val="00025BD8"/>
    <w:rsid w:val="00027DBC"/>
    <w:rsid w:val="000301F7"/>
    <w:rsid w:val="00031283"/>
    <w:rsid w:val="000337A0"/>
    <w:rsid w:val="00035BCA"/>
    <w:rsid w:val="000407E0"/>
    <w:rsid w:val="000524FC"/>
    <w:rsid w:val="00055EDD"/>
    <w:rsid w:val="00056FFC"/>
    <w:rsid w:val="000603D5"/>
    <w:rsid w:val="00060415"/>
    <w:rsid w:val="000609AA"/>
    <w:rsid w:val="00062A69"/>
    <w:rsid w:val="0006583E"/>
    <w:rsid w:val="0006720E"/>
    <w:rsid w:val="000672AC"/>
    <w:rsid w:val="00071D78"/>
    <w:rsid w:val="00074957"/>
    <w:rsid w:val="00076514"/>
    <w:rsid w:val="00077BFB"/>
    <w:rsid w:val="00082224"/>
    <w:rsid w:val="00086321"/>
    <w:rsid w:val="000864A4"/>
    <w:rsid w:val="00086CA7"/>
    <w:rsid w:val="0009058A"/>
    <w:rsid w:val="000914E2"/>
    <w:rsid w:val="00092DFF"/>
    <w:rsid w:val="00093CB9"/>
    <w:rsid w:val="00095263"/>
    <w:rsid w:val="0009725A"/>
    <w:rsid w:val="0009727B"/>
    <w:rsid w:val="000A0DFD"/>
    <w:rsid w:val="000A2452"/>
    <w:rsid w:val="000A42FD"/>
    <w:rsid w:val="000A436F"/>
    <w:rsid w:val="000A6F24"/>
    <w:rsid w:val="000A71BE"/>
    <w:rsid w:val="000B0889"/>
    <w:rsid w:val="000B0C25"/>
    <w:rsid w:val="000B3930"/>
    <w:rsid w:val="000B4952"/>
    <w:rsid w:val="000B4C0A"/>
    <w:rsid w:val="000B7A44"/>
    <w:rsid w:val="000C33AF"/>
    <w:rsid w:val="000C374E"/>
    <w:rsid w:val="000C5FA1"/>
    <w:rsid w:val="000C6FD2"/>
    <w:rsid w:val="000C7FD2"/>
    <w:rsid w:val="000D1806"/>
    <w:rsid w:val="000D30CA"/>
    <w:rsid w:val="000D46D1"/>
    <w:rsid w:val="000D5AE5"/>
    <w:rsid w:val="000D5BA8"/>
    <w:rsid w:val="000D5C5B"/>
    <w:rsid w:val="000D6049"/>
    <w:rsid w:val="000D6DAC"/>
    <w:rsid w:val="000E3537"/>
    <w:rsid w:val="000E5F4D"/>
    <w:rsid w:val="000F4C2D"/>
    <w:rsid w:val="000F662A"/>
    <w:rsid w:val="000F6696"/>
    <w:rsid w:val="001004A9"/>
    <w:rsid w:val="00105F75"/>
    <w:rsid w:val="0010667C"/>
    <w:rsid w:val="0010674A"/>
    <w:rsid w:val="00106750"/>
    <w:rsid w:val="00106E90"/>
    <w:rsid w:val="001137E8"/>
    <w:rsid w:val="00117609"/>
    <w:rsid w:val="001236A4"/>
    <w:rsid w:val="001266E7"/>
    <w:rsid w:val="001311EB"/>
    <w:rsid w:val="00131C39"/>
    <w:rsid w:val="00132C38"/>
    <w:rsid w:val="0013463C"/>
    <w:rsid w:val="001356E6"/>
    <w:rsid w:val="001358BB"/>
    <w:rsid w:val="0013623C"/>
    <w:rsid w:val="001370C1"/>
    <w:rsid w:val="001378B3"/>
    <w:rsid w:val="0013795C"/>
    <w:rsid w:val="00141562"/>
    <w:rsid w:val="00141BBD"/>
    <w:rsid w:val="00141DE3"/>
    <w:rsid w:val="0014283A"/>
    <w:rsid w:val="00143D18"/>
    <w:rsid w:val="001457F0"/>
    <w:rsid w:val="00150AF6"/>
    <w:rsid w:val="0015109E"/>
    <w:rsid w:val="00154FA1"/>
    <w:rsid w:val="00155623"/>
    <w:rsid w:val="00155E63"/>
    <w:rsid w:val="00163CB3"/>
    <w:rsid w:val="00165395"/>
    <w:rsid w:val="00165674"/>
    <w:rsid w:val="001679DE"/>
    <w:rsid w:val="00170202"/>
    <w:rsid w:val="001704E5"/>
    <w:rsid w:val="001739ED"/>
    <w:rsid w:val="00176200"/>
    <w:rsid w:val="00180F3D"/>
    <w:rsid w:val="001821B4"/>
    <w:rsid w:val="00182A5C"/>
    <w:rsid w:val="00184298"/>
    <w:rsid w:val="0018502C"/>
    <w:rsid w:val="001918E6"/>
    <w:rsid w:val="00193819"/>
    <w:rsid w:val="001A2EC4"/>
    <w:rsid w:val="001A5A2F"/>
    <w:rsid w:val="001B2738"/>
    <w:rsid w:val="001B456E"/>
    <w:rsid w:val="001B4961"/>
    <w:rsid w:val="001C201D"/>
    <w:rsid w:val="001C2B68"/>
    <w:rsid w:val="001C2D80"/>
    <w:rsid w:val="001C3B2A"/>
    <w:rsid w:val="001C42F4"/>
    <w:rsid w:val="001C51D6"/>
    <w:rsid w:val="001C7CCF"/>
    <w:rsid w:val="001D3A5E"/>
    <w:rsid w:val="001D5280"/>
    <w:rsid w:val="001E1EBB"/>
    <w:rsid w:val="001E35D7"/>
    <w:rsid w:val="001E440A"/>
    <w:rsid w:val="001E5359"/>
    <w:rsid w:val="001E57B7"/>
    <w:rsid w:val="001E5943"/>
    <w:rsid w:val="001E75CE"/>
    <w:rsid w:val="001F1AC3"/>
    <w:rsid w:val="001F25B4"/>
    <w:rsid w:val="001F61E0"/>
    <w:rsid w:val="001F7035"/>
    <w:rsid w:val="001F7F9B"/>
    <w:rsid w:val="00200B91"/>
    <w:rsid w:val="0020209C"/>
    <w:rsid w:val="00206AEC"/>
    <w:rsid w:val="00207F9A"/>
    <w:rsid w:val="002103E3"/>
    <w:rsid w:val="00212A7C"/>
    <w:rsid w:val="00212AB5"/>
    <w:rsid w:val="002148E4"/>
    <w:rsid w:val="002210AA"/>
    <w:rsid w:val="002225BF"/>
    <w:rsid w:val="00222FFC"/>
    <w:rsid w:val="002233E1"/>
    <w:rsid w:val="00223E8C"/>
    <w:rsid w:val="00224DC6"/>
    <w:rsid w:val="00226E6F"/>
    <w:rsid w:val="00231BFE"/>
    <w:rsid w:val="00235C2E"/>
    <w:rsid w:val="00237341"/>
    <w:rsid w:val="002379C9"/>
    <w:rsid w:val="00240A0E"/>
    <w:rsid w:val="00242ADE"/>
    <w:rsid w:val="00242C0A"/>
    <w:rsid w:val="00243E29"/>
    <w:rsid w:val="002456A2"/>
    <w:rsid w:val="00252690"/>
    <w:rsid w:val="00253D08"/>
    <w:rsid w:val="0025409B"/>
    <w:rsid w:val="002545C2"/>
    <w:rsid w:val="00254749"/>
    <w:rsid w:val="002623A5"/>
    <w:rsid w:val="00262598"/>
    <w:rsid w:val="00263AA3"/>
    <w:rsid w:val="00264F25"/>
    <w:rsid w:val="00271A91"/>
    <w:rsid w:val="00273155"/>
    <w:rsid w:val="00274651"/>
    <w:rsid w:val="00276DCC"/>
    <w:rsid w:val="00280264"/>
    <w:rsid w:val="00285645"/>
    <w:rsid w:val="00285EB5"/>
    <w:rsid w:val="00286174"/>
    <w:rsid w:val="0028790A"/>
    <w:rsid w:val="002915EC"/>
    <w:rsid w:val="0029423F"/>
    <w:rsid w:val="00294AFD"/>
    <w:rsid w:val="00295C1B"/>
    <w:rsid w:val="00296C75"/>
    <w:rsid w:val="002A0C06"/>
    <w:rsid w:val="002A40B2"/>
    <w:rsid w:val="002A716B"/>
    <w:rsid w:val="002B0363"/>
    <w:rsid w:val="002B04B6"/>
    <w:rsid w:val="002B09A1"/>
    <w:rsid w:val="002B2404"/>
    <w:rsid w:val="002B3E23"/>
    <w:rsid w:val="002B4617"/>
    <w:rsid w:val="002C05EF"/>
    <w:rsid w:val="002C1575"/>
    <w:rsid w:val="002C272A"/>
    <w:rsid w:val="002C3A5C"/>
    <w:rsid w:val="002C4951"/>
    <w:rsid w:val="002C4D6C"/>
    <w:rsid w:val="002C6393"/>
    <w:rsid w:val="002D0B9F"/>
    <w:rsid w:val="002D12C3"/>
    <w:rsid w:val="002D1729"/>
    <w:rsid w:val="002E2286"/>
    <w:rsid w:val="002E3AFE"/>
    <w:rsid w:val="002E415A"/>
    <w:rsid w:val="002E5B34"/>
    <w:rsid w:val="002E69B6"/>
    <w:rsid w:val="002F1DFC"/>
    <w:rsid w:val="002F23DD"/>
    <w:rsid w:val="002F2AA5"/>
    <w:rsid w:val="002F3462"/>
    <w:rsid w:val="002F391E"/>
    <w:rsid w:val="002F4072"/>
    <w:rsid w:val="002F4991"/>
    <w:rsid w:val="00301A9C"/>
    <w:rsid w:val="003031D3"/>
    <w:rsid w:val="003034C6"/>
    <w:rsid w:val="00303743"/>
    <w:rsid w:val="00307D07"/>
    <w:rsid w:val="00310091"/>
    <w:rsid w:val="00316531"/>
    <w:rsid w:val="003201F6"/>
    <w:rsid w:val="00320C3C"/>
    <w:rsid w:val="00325794"/>
    <w:rsid w:val="00326215"/>
    <w:rsid w:val="003264F8"/>
    <w:rsid w:val="00333B28"/>
    <w:rsid w:val="00335754"/>
    <w:rsid w:val="00335A1D"/>
    <w:rsid w:val="00335DF7"/>
    <w:rsid w:val="003366DA"/>
    <w:rsid w:val="00337E22"/>
    <w:rsid w:val="003402FB"/>
    <w:rsid w:val="003405D4"/>
    <w:rsid w:val="00344DFD"/>
    <w:rsid w:val="00345CDF"/>
    <w:rsid w:val="00351009"/>
    <w:rsid w:val="003527F4"/>
    <w:rsid w:val="00355798"/>
    <w:rsid w:val="00355CE6"/>
    <w:rsid w:val="00356D87"/>
    <w:rsid w:val="00356E15"/>
    <w:rsid w:val="0036042C"/>
    <w:rsid w:val="00360FDB"/>
    <w:rsid w:val="00361EBC"/>
    <w:rsid w:val="00363083"/>
    <w:rsid w:val="0036339C"/>
    <w:rsid w:val="00373DA9"/>
    <w:rsid w:val="00377890"/>
    <w:rsid w:val="00380114"/>
    <w:rsid w:val="003820EB"/>
    <w:rsid w:val="0038368A"/>
    <w:rsid w:val="00384992"/>
    <w:rsid w:val="003876F5"/>
    <w:rsid w:val="00390AF7"/>
    <w:rsid w:val="00391379"/>
    <w:rsid w:val="00395596"/>
    <w:rsid w:val="00395AE4"/>
    <w:rsid w:val="003A1BF9"/>
    <w:rsid w:val="003A2AA5"/>
    <w:rsid w:val="003A3377"/>
    <w:rsid w:val="003A557E"/>
    <w:rsid w:val="003A7587"/>
    <w:rsid w:val="003B4DE0"/>
    <w:rsid w:val="003B5159"/>
    <w:rsid w:val="003B68E2"/>
    <w:rsid w:val="003B72AD"/>
    <w:rsid w:val="003B79FF"/>
    <w:rsid w:val="003C0FFB"/>
    <w:rsid w:val="003C2A81"/>
    <w:rsid w:val="003C7C50"/>
    <w:rsid w:val="003E3186"/>
    <w:rsid w:val="003E5AC9"/>
    <w:rsid w:val="003E5D78"/>
    <w:rsid w:val="003E7377"/>
    <w:rsid w:val="004014A9"/>
    <w:rsid w:val="00401B7D"/>
    <w:rsid w:val="00402192"/>
    <w:rsid w:val="00403681"/>
    <w:rsid w:val="00404F51"/>
    <w:rsid w:val="0040609F"/>
    <w:rsid w:val="00415BB2"/>
    <w:rsid w:val="00416A00"/>
    <w:rsid w:val="004260EC"/>
    <w:rsid w:val="00427B76"/>
    <w:rsid w:val="00431DD0"/>
    <w:rsid w:val="00432404"/>
    <w:rsid w:val="00432D0A"/>
    <w:rsid w:val="004332DD"/>
    <w:rsid w:val="00434E7A"/>
    <w:rsid w:val="0043742C"/>
    <w:rsid w:val="00441923"/>
    <w:rsid w:val="00442084"/>
    <w:rsid w:val="00442EC4"/>
    <w:rsid w:val="00444291"/>
    <w:rsid w:val="00445A53"/>
    <w:rsid w:val="00463686"/>
    <w:rsid w:val="004644C1"/>
    <w:rsid w:val="00464B49"/>
    <w:rsid w:val="00465C63"/>
    <w:rsid w:val="004660DC"/>
    <w:rsid w:val="004703DA"/>
    <w:rsid w:val="00471886"/>
    <w:rsid w:val="00472644"/>
    <w:rsid w:val="00474863"/>
    <w:rsid w:val="00474BB6"/>
    <w:rsid w:val="00475533"/>
    <w:rsid w:val="004758DF"/>
    <w:rsid w:val="00475E98"/>
    <w:rsid w:val="00480531"/>
    <w:rsid w:val="00481B80"/>
    <w:rsid w:val="0048469C"/>
    <w:rsid w:val="00486DC1"/>
    <w:rsid w:val="00487148"/>
    <w:rsid w:val="00491992"/>
    <w:rsid w:val="00492492"/>
    <w:rsid w:val="00493228"/>
    <w:rsid w:val="004943AD"/>
    <w:rsid w:val="00494A60"/>
    <w:rsid w:val="004967D6"/>
    <w:rsid w:val="00496C90"/>
    <w:rsid w:val="004A178C"/>
    <w:rsid w:val="004A43ED"/>
    <w:rsid w:val="004B4082"/>
    <w:rsid w:val="004B471A"/>
    <w:rsid w:val="004B6A59"/>
    <w:rsid w:val="004B7830"/>
    <w:rsid w:val="004C0966"/>
    <w:rsid w:val="004C5492"/>
    <w:rsid w:val="004C5919"/>
    <w:rsid w:val="004C5B5D"/>
    <w:rsid w:val="004D0BB3"/>
    <w:rsid w:val="004D18B7"/>
    <w:rsid w:val="004D3E17"/>
    <w:rsid w:val="004D4B0C"/>
    <w:rsid w:val="004D66EF"/>
    <w:rsid w:val="004D6C81"/>
    <w:rsid w:val="004D70C3"/>
    <w:rsid w:val="004D79CC"/>
    <w:rsid w:val="004E1251"/>
    <w:rsid w:val="004E1578"/>
    <w:rsid w:val="004E33AE"/>
    <w:rsid w:val="004E5010"/>
    <w:rsid w:val="004E50B9"/>
    <w:rsid w:val="004E54C8"/>
    <w:rsid w:val="004E69F8"/>
    <w:rsid w:val="004F39DB"/>
    <w:rsid w:val="004F5B04"/>
    <w:rsid w:val="004F67BA"/>
    <w:rsid w:val="00501B6F"/>
    <w:rsid w:val="00504521"/>
    <w:rsid w:val="0050453C"/>
    <w:rsid w:val="005054AE"/>
    <w:rsid w:val="00513043"/>
    <w:rsid w:val="00513921"/>
    <w:rsid w:val="005220FE"/>
    <w:rsid w:val="00525454"/>
    <w:rsid w:val="005266FC"/>
    <w:rsid w:val="00526CBF"/>
    <w:rsid w:val="00526F1F"/>
    <w:rsid w:val="00527953"/>
    <w:rsid w:val="00530485"/>
    <w:rsid w:val="00533AD3"/>
    <w:rsid w:val="00535335"/>
    <w:rsid w:val="0053730B"/>
    <w:rsid w:val="00537592"/>
    <w:rsid w:val="00541376"/>
    <w:rsid w:val="00541BDF"/>
    <w:rsid w:val="00560AA4"/>
    <w:rsid w:val="00564D3C"/>
    <w:rsid w:val="005658CA"/>
    <w:rsid w:val="005675E4"/>
    <w:rsid w:val="0057266E"/>
    <w:rsid w:val="005821E8"/>
    <w:rsid w:val="00582781"/>
    <w:rsid w:val="005834DE"/>
    <w:rsid w:val="00583757"/>
    <w:rsid w:val="00587A54"/>
    <w:rsid w:val="00587ABF"/>
    <w:rsid w:val="00592C0C"/>
    <w:rsid w:val="00593013"/>
    <w:rsid w:val="00593B4C"/>
    <w:rsid w:val="00594401"/>
    <w:rsid w:val="00595C93"/>
    <w:rsid w:val="00597255"/>
    <w:rsid w:val="005A07CB"/>
    <w:rsid w:val="005A15F8"/>
    <w:rsid w:val="005A20C2"/>
    <w:rsid w:val="005A2D54"/>
    <w:rsid w:val="005A421C"/>
    <w:rsid w:val="005B26B7"/>
    <w:rsid w:val="005B306A"/>
    <w:rsid w:val="005B36E1"/>
    <w:rsid w:val="005B669A"/>
    <w:rsid w:val="005C016B"/>
    <w:rsid w:val="005C1545"/>
    <w:rsid w:val="005C43E9"/>
    <w:rsid w:val="005D19FF"/>
    <w:rsid w:val="005D2453"/>
    <w:rsid w:val="005D2E9F"/>
    <w:rsid w:val="005D5404"/>
    <w:rsid w:val="005D7636"/>
    <w:rsid w:val="005E2DB4"/>
    <w:rsid w:val="005E53E5"/>
    <w:rsid w:val="005F0460"/>
    <w:rsid w:val="005F2854"/>
    <w:rsid w:val="005F4C3B"/>
    <w:rsid w:val="005F634E"/>
    <w:rsid w:val="005F7009"/>
    <w:rsid w:val="00601693"/>
    <w:rsid w:val="006017F1"/>
    <w:rsid w:val="00607709"/>
    <w:rsid w:val="006136CF"/>
    <w:rsid w:val="006157BE"/>
    <w:rsid w:val="00615ADB"/>
    <w:rsid w:val="00621C6C"/>
    <w:rsid w:val="006235F1"/>
    <w:rsid w:val="00623933"/>
    <w:rsid w:val="00624298"/>
    <w:rsid w:val="00624BA0"/>
    <w:rsid w:val="00626C2E"/>
    <w:rsid w:val="006369C7"/>
    <w:rsid w:val="00636EF4"/>
    <w:rsid w:val="00644A4D"/>
    <w:rsid w:val="00645E8B"/>
    <w:rsid w:val="00646C02"/>
    <w:rsid w:val="00646D8A"/>
    <w:rsid w:val="00650D87"/>
    <w:rsid w:val="00651DAB"/>
    <w:rsid w:val="006537BF"/>
    <w:rsid w:val="00655A69"/>
    <w:rsid w:val="00663615"/>
    <w:rsid w:val="0066444D"/>
    <w:rsid w:val="0066538D"/>
    <w:rsid w:val="0066571E"/>
    <w:rsid w:val="00671B7F"/>
    <w:rsid w:val="006760AF"/>
    <w:rsid w:val="006811D2"/>
    <w:rsid w:val="00682A04"/>
    <w:rsid w:val="0068710E"/>
    <w:rsid w:val="00687E6F"/>
    <w:rsid w:val="00691650"/>
    <w:rsid w:val="006A0674"/>
    <w:rsid w:val="006A1A56"/>
    <w:rsid w:val="006A1A88"/>
    <w:rsid w:val="006A2DA3"/>
    <w:rsid w:val="006A5F9D"/>
    <w:rsid w:val="006B1451"/>
    <w:rsid w:val="006B2607"/>
    <w:rsid w:val="006B3A04"/>
    <w:rsid w:val="006B48B4"/>
    <w:rsid w:val="006B6EAE"/>
    <w:rsid w:val="006B7806"/>
    <w:rsid w:val="006C0956"/>
    <w:rsid w:val="006C3ECB"/>
    <w:rsid w:val="006D1579"/>
    <w:rsid w:val="006D15E1"/>
    <w:rsid w:val="006D2F55"/>
    <w:rsid w:val="006D5DC6"/>
    <w:rsid w:val="006D73C4"/>
    <w:rsid w:val="006D7850"/>
    <w:rsid w:val="006E03F4"/>
    <w:rsid w:val="006E0B2F"/>
    <w:rsid w:val="006E15EF"/>
    <w:rsid w:val="006E1AD2"/>
    <w:rsid w:val="006E1F10"/>
    <w:rsid w:val="006E22A3"/>
    <w:rsid w:val="006E2F1D"/>
    <w:rsid w:val="006E33B6"/>
    <w:rsid w:val="006E3FBB"/>
    <w:rsid w:val="006E61E4"/>
    <w:rsid w:val="006E7134"/>
    <w:rsid w:val="006F5A18"/>
    <w:rsid w:val="00701891"/>
    <w:rsid w:val="00702331"/>
    <w:rsid w:val="00710274"/>
    <w:rsid w:val="00710355"/>
    <w:rsid w:val="00710B6E"/>
    <w:rsid w:val="00711311"/>
    <w:rsid w:val="007118FD"/>
    <w:rsid w:val="00712C91"/>
    <w:rsid w:val="007145B9"/>
    <w:rsid w:val="00717391"/>
    <w:rsid w:val="00723082"/>
    <w:rsid w:val="00723129"/>
    <w:rsid w:val="00723BB2"/>
    <w:rsid w:val="007361F8"/>
    <w:rsid w:val="0073640E"/>
    <w:rsid w:val="007365C8"/>
    <w:rsid w:val="0073798A"/>
    <w:rsid w:val="00737BF6"/>
    <w:rsid w:val="00742439"/>
    <w:rsid w:val="0074250D"/>
    <w:rsid w:val="00742C77"/>
    <w:rsid w:val="00743398"/>
    <w:rsid w:val="007437BE"/>
    <w:rsid w:val="00744A5E"/>
    <w:rsid w:val="00745075"/>
    <w:rsid w:val="00753777"/>
    <w:rsid w:val="00755D7A"/>
    <w:rsid w:val="00756A9D"/>
    <w:rsid w:val="00756FA9"/>
    <w:rsid w:val="00757466"/>
    <w:rsid w:val="007625F1"/>
    <w:rsid w:val="00763495"/>
    <w:rsid w:val="00765AE3"/>
    <w:rsid w:val="00766394"/>
    <w:rsid w:val="0076648D"/>
    <w:rsid w:val="00767476"/>
    <w:rsid w:val="00767DA9"/>
    <w:rsid w:val="00767E0E"/>
    <w:rsid w:val="007704EC"/>
    <w:rsid w:val="00771075"/>
    <w:rsid w:val="007802DD"/>
    <w:rsid w:val="00781FAA"/>
    <w:rsid w:val="007829E9"/>
    <w:rsid w:val="007838CD"/>
    <w:rsid w:val="00785A34"/>
    <w:rsid w:val="007879FB"/>
    <w:rsid w:val="007919C0"/>
    <w:rsid w:val="00791F5F"/>
    <w:rsid w:val="00794B07"/>
    <w:rsid w:val="007950A3"/>
    <w:rsid w:val="00796A64"/>
    <w:rsid w:val="007975D7"/>
    <w:rsid w:val="00797C8A"/>
    <w:rsid w:val="007A1F61"/>
    <w:rsid w:val="007A48AD"/>
    <w:rsid w:val="007A495F"/>
    <w:rsid w:val="007A4BA0"/>
    <w:rsid w:val="007A572A"/>
    <w:rsid w:val="007A5E34"/>
    <w:rsid w:val="007A5F60"/>
    <w:rsid w:val="007A77A7"/>
    <w:rsid w:val="007B0802"/>
    <w:rsid w:val="007B1023"/>
    <w:rsid w:val="007B23F5"/>
    <w:rsid w:val="007B2744"/>
    <w:rsid w:val="007B5BB3"/>
    <w:rsid w:val="007C3432"/>
    <w:rsid w:val="007C3E6B"/>
    <w:rsid w:val="007C7367"/>
    <w:rsid w:val="007D374F"/>
    <w:rsid w:val="007D52F5"/>
    <w:rsid w:val="007D5B46"/>
    <w:rsid w:val="007E23D5"/>
    <w:rsid w:val="007F1110"/>
    <w:rsid w:val="007F142E"/>
    <w:rsid w:val="007F1789"/>
    <w:rsid w:val="007F2E60"/>
    <w:rsid w:val="007F3358"/>
    <w:rsid w:val="00802518"/>
    <w:rsid w:val="00803012"/>
    <w:rsid w:val="008051A3"/>
    <w:rsid w:val="00805348"/>
    <w:rsid w:val="00806342"/>
    <w:rsid w:val="00806FC0"/>
    <w:rsid w:val="008121B5"/>
    <w:rsid w:val="008130C7"/>
    <w:rsid w:val="0081553C"/>
    <w:rsid w:val="00820C93"/>
    <w:rsid w:val="00830ADE"/>
    <w:rsid w:val="00830D1B"/>
    <w:rsid w:val="008326B0"/>
    <w:rsid w:val="00832E66"/>
    <w:rsid w:val="008336A3"/>
    <w:rsid w:val="00834077"/>
    <w:rsid w:val="0083459C"/>
    <w:rsid w:val="00841D3F"/>
    <w:rsid w:val="00841F5D"/>
    <w:rsid w:val="008424D3"/>
    <w:rsid w:val="00842DDB"/>
    <w:rsid w:val="008442A7"/>
    <w:rsid w:val="008458BE"/>
    <w:rsid w:val="00845DD3"/>
    <w:rsid w:val="00847F55"/>
    <w:rsid w:val="00852339"/>
    <w:rsid w:val="00856926"/>
    <w:rsid w:val="008612DC"/>
    <w:rsid w:val="00863911"/>
    <w:rsid w:val="008704AE"/>
    <w:rsid w:val="008706A7"/>
    <w:rsid w:val="00870A2C"/>
    <w:rsid w:val="008718B5"/>
    <w:rsid w:val="0087229E"/>
    <w:rsid w:val="0087387C"/>
    <w:rsid w:val="00877C04"/>
    <w:rsid w:val="008805B4"/>
    <w:rsid w:val="00880687"/>
    <w:rsid w:val="0088726F"/>
    <w:rsid w:val="00890C24"/>
    <w:rsid w:val="00890F35"/>
    <w:rsid w:val="00892C8A"/>
    <w:rsid w:val="008947E1"/>
    <w:rsid w:val="0089792A"/>
    <w:rsid w:val="00897B32"/>
    <w:rsid w:val="008A4AA1"/>
    <w:rsid w:val="008B2799"/>
    <w:rsid w:val="008B3FF6"/>
    <w:rsid w:val="008B5DC6"/>
    <w:rsid w:val="008B5F58"/>
    <w:rsid w:val="008C08E2"/>
    <w:rsid w:val="008C0DBC"/>
    <w:rsid w:val="008C1751"/>
    <w:rsid w:val="008C243A"/>
    <w:rsid w:val="008C5539"/>
    <w:rsid w:val="008C7E43"/>
    <w:rsid w:val="008D063B"/>
    <w:rsid w:val="008D37F0"/>
    <w:rsid w:val="008D3AF2"/>
    <w:rsid w:val="008D3DC9"/>
    <w:rsid w:val="008D609B"/>
    <w:rsid w:val="008D6231"/>
    <w:rsid w:val="008D68D4"/>
    <w:rsid w:val="008E1C12"/>
    <w:rsid w:val="008E1F4A"/>
    <w:rsid w:val="008E2403"/>
    <w:rsid w:val="008E3826"/>
    <w:rsid w:val="008F4BEB"/>
    <w:rsid w:val="008F57BA"/>
    <w:rsid w:val="008F6968"/>
    <w:rsid w:val="00904636"/>
    <w:rsid w:val="009053D4"/>
    <w:rsid w:val="00905799"/>
    <w:rsid w:val="00906A5F"/>
    <w:rsid w:val="009114AF"/>
    <w:rsid w:val="009123CB"/>
    <w:rsid w:val="00913803"/>
    <w:rsid w:val="009143ED"/>
    <w:rsid w:val="00921546"/>
    <w:rsid w:val="009219D1"/>
    <w:rsid w:val="00921CCB"/>
    <w:rsid w:val="009240E0"/>
    <w:rsid w:val="00925789"/>
    <w:rsid w:val="009257F9"/>
    <w:rsid w:val="00930841"/>
    <w:rsid w:val="00931690"/>
    <w:rsid w:val="00933673"/>
    <w:rsid w:val="00934426"/>
    <w:rsid w:val="00934EB0"/>
    <w:rsid w:val="009413D6"/>
    <w:rsid w:val="009415B3"/>
    <w:rsid w:val="00943D1F"/>
    <w:rsid w:val="00943D67"/>
    <w:rsid w:val="00944585"/>
    <w:rsid w:val="009447DA"/>
    <w:rsid w:val="009529C7"/>
    <w:rsid w:val="00954F69"/>
    <w:rsid w:val="00956501"/>
    <w:rsid w:val="00956C47"/>
    <w:rsid w:val="0095731E"/>
    <w:rsid w:val="009604C1"/>
    <w:rsid w:val="009624CF"/>
    <w:rsid w:val="009723B1"/>
    <w:rsid w:val="00974710"/>
    <w:rsid w:val="009756DD"/>
    <w:rsid w:val="009773EE"/>
    <w:rsid w:val="00983697"/>
    <w:rsid w:val="00983EFB"/>
    <w:rsid w:val="009855E7"/>
    <w:rsid w:val="00992512"/>
    <w:rsid w:val="00992D72"/>
    <w:rsid w:val="00993E51"/>
    <w:rsid w:val="00993F30"/>
    <w:rsid w:val="00995C67"/>
    <w:rsid w:val="0099690B"/>
    <w:rsid w:val="00997E73"/>
    <w:rsid w:val="009A4887"/>
    <w:rsid w:val="009A6004"/>
    <w:rsid w:val="009B1C97"/>
    <w:rsid w:val="009B2729"/>
    <w:rsid w:val="009B40B2"/>
    <w:rsid w:val="009B46AE"/>
    <w:rsid w:val="009B4FB0"/>
    <w:rsid w:val="009B5994"/>
    <w:rsid w:val="009B67D4"/>
    <w:rsid w:val="009B6EBD"/>
    <w:rsid w:val="009C03AF"/>
    <w:rsid w:val="009C433E"/>
    <w:rsid w:val="009C449C"/>
    <w:rsid w:val="009C571F"/>
    <w:rsid w:val="009D15C5"/>
    <w:rsid w:val="009D1FA8"/>
    <w:rsid w:val="009D2A07"/>
    <w:rsid w:val="009D2DB3"/>
    <w:rsid w:val="009D5173"/>
    <w:rsid w:val="009D57A6"/>
    <w:rsid w:val="009D5C8D"/>
    <w:rsid w:val="009E0D6F"/>
    <w:rsid w:val="009E21DF"/>
    <w:rsid w:val="009E226C"/>
    <w:rsid w:val="009E4A77"/>
    <w:rsid w:val="009E63FA"/>
    <w:rsid w:val="009E68ED"/>
    <w:rsid w:val="009E6948"/>
    <w:rsid w:val="009E7BEF"/>
    <w:rsid w:val="009F2C70"/>
    <w:rsid w:val="009F34C7"/>
    <w:rsid w:val="009F759D"/>
    <w:rsid w:val="009F7A69"/>
    <w:rsid w:val="00A038B0"/>
    <w:rsid w:val="00A106F7"/>
    <w:rsid w:val="00A13865"/>
    <w:rsid w:val="00A1503D"/>
    <w:rsid w:val="00A16A45"/>
    <w:rsid w:val="00A16EA8"/>
    <w:rsid w:val="00A208AA"/>
    <w:rsid w:val="00A21094"/>
    <w:rsid w:val="00A2110A"/>
    <w:rsid w:val="00A22FD0"/>
    <w:rsid w:val="00A23697"/>
    <w:rsid w:val="00A2627F"/>
    <w:rsid w:val="00A3075D"/>
    <w:rsid w:val="00A31238"/>
    <w:rsid w:val="00A314E6"/>
    <w:rsid w:val="00A34D23"/>
    <w:rsid w:val="00A3662D"/>
    <w:rsid w:val="00A37A1B"/>
    <w:rsid w:val="00A42463"/>
    <w:rsid w:val="00A43757"/>
    <w:rsid w:val="00A50276"/>
    <w:rsid w:val="00A5563A"/>
    <w:rsid w:val="00A56F01"/>
    <w:rsid w:val="00A60AA1"/>
    <w:rsid w:val="00A60FE7"/>
    <w:rsid w:val="00A62A7C"/>
    <w:rsid w:val="00A639A1"/>
    <w:rsid w:val="00A6493A"/>
    <w:rsid w:val="00A66278"/>
    <w:rsid w:val="00A665CB"/>
    <w:rsid w:val="00A66A79"/>
    <w:rsid w:val="00A66B37"/>
    <w:rsid w:val="00A72F5E"/>
    <w:rsid w:val="00A76E02"/>
    <w:rsid w:val="00A77759"/>
    <w:rsid w:val="00A77B49"/>
    <w:rsid w:val="00A80229"/>
    <w:rsid w:val="00A803FE"/>
    <w:rsid w:val="00A80F23"/>
    <w:rsid w:val="00A8183F"/>
    <w:rsid w:val="00A83175"/>
    <w:rsid w:val="00A85CA7"/>
    <w:rsid w:val="00A85E51"/>
    <w:rsid w:val="00A9045D"/>
    <w:rsid w:val="00A9083E"/>
    <w:rsid w:val="00A9590B"/>
    <w:rsid w:val="00AA31BB"/>
    <w:rsid w:val="00AA4066"/>
    <w:rsid w:val="00AA4E62"/>
    <w:rsid w:val="00AA5A15"/>
    <w:rsid w:val="00AA682E"/>
    <w:rsid w:val="00AA6B6C"/>
    <w:rsid w:val="00AA7569"/>
    <w:rsid w:val="00AB6A8A"/>
    <w:rsid w:val="00AC0F54"/>
    <w:rsid w:val="00AC34B0"/>
    <w:rsid w:val="00AC3EF3"/>
    <w:rsid w:val="00AC5556"/>
    <w:rsid w:val="00AC6CFF"/>
    <w:rsid w:val="00AC7F7F"/>
    <w:rsid w:val="00AD4073"/>
    <w:rsid w:val="00AD4AEE"/>
    <w:rsid w:val="00AD729D"/>
    <w:rsid w:val="00AE7C7E"/>
    <w:rsid w:val="00AF1BCB"/>
    <w:rsid w:val="00AF1D79"/>
    <w:rsid w:val="00AF2897"/>
    <w:rsid w:val="00AF28D2"/>
    <w:rsid w:val="00AF3C04"/>
    <w:rsid w:val="00AF44F5"/>
    <w:rsid w:val="00AF60FD"/>
    <w:rsid w:val="00AF71AF"/>
    <w:rsid w:val="00B01FF1"/>
    <w:rsid w:val="00B06C31"/>
    <w:rsid w:val="00B07083"/>
    <w:rsid w:val="00B15A57"/>
    <w:rsid w:val="00B22EFC"/>
    <w:rsid w:val="00B27FBE"/>
    <w:rsid w:val="00B359CA"/>
    <w:rsid w:val="00B4263E"/>
    <w:rsid w:val="00B468C6"/>
    <w:rsid w:val="00B501E8"/>
    <w:rsid w:val="00B50C0A"/>
    <w:rsid w:val="00B53E43"/>
    <w:rsid w:val="00B53F62"/>
    <w:rsid w:val="00B5690D"/>
    <w:rsid w:val="00B5799C"/>
    <w:rsid w:val="00B62359"/>
    <w:rsid w:val="00B63C0A"/>
    <w:rsid w:val="00B65C51"/>
    <w:rsid w:val="00B66C56"/>
    <w:rsid w:val="00B72D7D"/>
    <w:rsid w:val="00B762D7"/>
    <w:rsid w:val="00B80BBB"/>
    <w:rsid w:val="00B849B5"/>
    <w:rsid w:val="00B86B6F"/>
    <w:rsid w:val="00B93E50"/>
    <w:rsid w:val="00B9437F"/>
    <w:rsid w:val="00B95E0C"/>
    <w:rsid w:val="00B96BE6"/>
    <w:rsid w:val="00BA60B8"/>
    <w:rsid w:val="00BA658A"/>
    <w:rsid w:val="00BB2215"/>
    <w:rsid w:val="00BB2321"/>
    <w:rsid w:val="00BB2873"/>
    <w:rsid w:val="00BB2D79"/>
    <w:rsid w:val="00BB36D1"/>
    <w:rsid w:val="00BB4F59"/>
    <w:rsid w:val="00BB6C89"/>
    <w:rsid w:val="00BC248D"/>
    <w:rsid w:val="00BC37E4"/>
    <w:rsid w:val="00BC3D1E"/>
    <w:rsid w:val="00BC4093"/>
    <w:rsid w:val="00BC4549"/>
    <w:rsid w:val="00BC45F3"/>
    <w:rsid w:val="00BC4C2D"/>
    <w:rsid w:val="00BC5499"/>
    <w:rsid w:val="00BC5A52"/>
    <w:rsid w:val="00BC5A7D"/>
    <w:rsid w:val="00BC6AAF"/>
    <w:rsid w:val="00BD1A5D"/>
    <w:rsid w:val="00BD2B9F"/>
    <w:rsid w:val="00BD7780"/>
    <w:rsid w:val="00BE2BA2"/>
    <w:rsid w:val="00BE3607"/>
    <w:rsid w:val="00BE6CFF"/>
    <w:rsid w:val="00BF0BE2"/>
    <w:rsid w:val="00BF193C"/>
    <w:rsid w:val="00BF28AB"/>
    <w:rsid w:val="00BF34A2"/>
    <w:rsid w:val="00BF64CA"/>
    <w:rsid w:val="00BF7449"/>
    <w:rsid w:val="00C01325"/>
    <w:rsid w:val="00C0602B"/>
    <w:rsid w:val="00C06543"/>
    <w:rsid w:val="00C06894"/>
    <w:rsid w:val="00C11816"/>
    <w:rsid w:val="00C13B17"/>
    <w:rsid w:val="00C20BA4"/>
    <w:rsid w:val="00C20ED3"/>
    <w:rsid w:val="00C2112F"/>
    <w:rsid w:val="00C22686"/>
    <w:rsid w:val="00C22A3E"/>
    <w:rsid w:val="00C27A13"/>
    <w:rsid w:val="00C27BA4"/>
    <w:rsid w:val="00C300E9"/>
    <w:rsid w:val="00C30D0D"/>
    <w:rsid w:val="00C30FA9"/>
    <w:rsid w:val="00C31800"/>
    <w:rsid w:val="00C320D6"/>
    <w:rsid w:val="00C362C7"/>
    <w:rsid w:val="00C409A5"/>
    <w:rsid w:val="00C42AB8"/>
    <w:rsid w:val="00C44562"/>
    <w:rsid w:val="00C44ECF"/>
    <w:rsid w:val="00C51C71"/>
    <w:rsid w:val="00C53477"/>
    <w:rsid w:val="00C53EB6"/>
    <w:rsid w:val="00C54F8F"/>
    <w:rsid w:val="00C5742A"/>
    <w:rsid w:val="00C60AC2"/>
    <w:rsid w:val="00C624C0"/>
    <w:rsid w:val="00C62BE1"/>
    <w:rsid w:val="00C6687F"/>
    <w:rsid w:val="00C67C20"/>
    <w:rsid w:val="00C7123D"/>
    <w:rsid w:val="00C71AA0"/>
    <w:rsid w:val="00C7205A"/>
    <w:rsid w:val="00C74705"/>
    <w:rsid w:val="00C75B2D"/>
    <w:rsid w:val="00C76B07"/>
    <w:rsid w:val="00C83200"/>
    <w:rsid w:val="00C83A52"/>
    <w:rsid w:val="00C843D1"/>
    <w:rsid w:val="00C84839"/>
    <w:rsid w:val="00C861AF"/>
    <w:rsid w:val="00C86504"/>
    <w:rsid w:val="00C922FF"/>
    <w:rsid w:val="00C97880"/>
    <w:rsid w:val="00CA051C"/>
    <w:rsid w:val="00CA13EA"/>
    <w:rsid w:val="00CA3B05"/>
    <w:rsid w:val="00CA5337"/>
    <w:rsid w:val="00CA7E58"/>
    <w:rsid w:val="00CB0504"/>
    <w:rsid w:val="00CB2029"/>
    <w:rsid w:val="00CB2347"/>
    <w:rsid w:val="00CB4ADC"/>
    <w:rsid w:val="00CB6A6D"/>
    <w:rsid w:val="00CC214D"/>
    <w:rsid w:val="00CC2391"/>
    <w:rsid w:val="00CC244C"/>
    <w:rsid w:val="00CC6621"/>
    <w:rsid w:val="00CC6A12"/>
    <w:rsid w:val="00CD060A"/>
    <w:rsid w:val="00CD3813"/>
    <w:rsid w:val="00CD61E5"/>
    <w:rsid w:val="00CE2370"/>
    <w:rsid w:val="00CE3185"/>
    <w:rsid w:val="00CE5502"/>
    <w:rsid w:val="00CF2B09"/>
    <w:rsid w:val="00CF30B6"/>
    <w:rsid w:val="00CF4522"/>
    <w:rsid w:val="00CF6267"/>
    <w:rsid w:val="00CF63DC"/>
    <w:rsid w:val="00CF648E"/>
    <w:rsid w:val="00D075FD"/>
    <w:rsid w:val="00D109E7"/>
    <w:rsid w:val="00D118D2"/>
    <w:rsid w:val="00D20BEE"/>
    <w:rsid w:val="00D21E1A"/>
    <w:rsid w:val="00D22BB0"/>
    <w:rsid w:val="00D276A3"/>
    <w:rsid w:val="00D34F6D"/>
    <w:rsid w:val="00D3572B"/>
    <w:rsid w:val="00D375D8"/>
    <w:rsid w:val="00D44961"/>
    <w:rsid w:val="00D44E31"/>
    <w:rsid w:val="00D464D5"/>
    <w:rsid w:val="00D47520"/>
    <w:rsid w:val="00D51202"/>
    <w:rsid w:val="00D52EB0"/>
    <w:rsid w:val="00D55372"/>
    <w:rsid w:val="00D5540F"/>
    <w:rsid w:val="00D56330"/>
    <w:rsid w:val="00D569A6"/>
    <w:rsid w:val="00D56C6B"/>
    <w:rsid w:val="00D57CEE"/>
    <w:rsid w:val="00D615AA"/>
    <w:rsid w:val="00D6169B"/>
    <w:rsid w:val="00D61B9E"/>
    <w:rsid w:val="00D63C1B"/>
    <w:rsid w:val="00D6589D"/>
    <w:rsid w:val="00D71E68"/>
    <w:rsid w:val="00D735BB"/>
    <w:rsid w:val="00D73F0C"/>
    <w:rsid w:val="00D73F57"/>
    <w:rsid w:val="00D759D2"/>
    <w:rsid w:val="00D761C5"/>
    <w:rsid w:val="00D76327"/>
    <w:rsid w:val="00D77B5E"/>
    <w:rsid w:val="00D8061E"/>
    <w:rsid w:val="00D82D92"/>
    <w:rsid w:val="00D84529"/>
    <w:rsid w:val="00D85529"/>
    <w:rsid w:val="00D874E7"/>
    <w:rsid w:val="00D9482F"/>
    <w:rsid w:val="00D949A3"/>
    <w:rsid w:val="00DA6FB4"/>
    <w:rsid w:val="00DA70ED"/>
    <w:rsid w:val="00DB1688"/>
    <w:rsid w:val="00DB444F"/>
    <w:rsid w:val="00DB612F"/>
    <w:rsid w:val="00DB79EE"/>
    <w:rsid w:val="00DC0586"/>
    <w:rsid w:val="00DD2DD5"/>
    <w:rsid w:val="00DD516D"/>
    <w:rsid w:val="00DE39AE"/>
    <w:rsid w:val="00DE432B"/>
    <w:rsid w:val="00DE6BF1"/>
    <w:rsid w:val="00DF1A0E"/>
    <w:rsid w:val="00DF1B13"/>
    <w:rsid w:val="00DF22E3"/>
    <w:rsid w:val="00DF3285"/>
    <w:rsid w:val="00DF4176"/>
    <w:rsid w:val="00DF7CD6"/>
    <w:rsid w:val="00E033D9"/>
    <w:rsid w:val="00E10201"/>
    <w:rsid w:val="00E14C26"/>
    <w:rsid w:val="00E20FC4"/>
    <w:rsid w:val="00E210C3"/>
    <w:rsid w:val="00E24022"/>
    <w:rsid w:val="00E26E72"/>
    <w:rsid w:val="00E276C2"/>
    <w:rsid w:val="00E30240"/>
    <w:rsid w:val="00E31A99"/>
    <w:rsid w:val="00E31C05"/>
    <w:rsid w:val="00E32AC1"/>
    <w:rsid w:val="00E36E0F"/>
    <w:rsid w:val="00E44275"/>
    <w:rsid w:val="00E453DD"/>
    <w:rsid w:val="00E45BF9"/>
    <w:rsid w:val="00E46396"/>
    <w:rsid w:val="00E503C4"/>
    <w:rsid w:val="00E5081D"/>
    <w:rsid w:val="00E52389"/>
    <w:rsid w:val="00E52CAF"/>
    <w:rsid w:val="00E53857"/>
    <w:rsid w:val="00E54AA7"/>
    <w:rsid w:val="00E55070"/>
    <w:rsid w:val="00E56FEF"/>
    <w:rsid w:val="00E579F5"/>
    <w:rsid w:val="00E638A3"/>
    <w:rsid w:val="00E63AD5"/>
    <w:rsid w:val="00E6607F"/>
    <w:rsid w:val="00E67012"/>
    <w:rsid w:val="00E72CA6"/>
    <w:rsid w:val="00E72D89"/>
    <w:rsid w:val="00E7597C"/>
    <w:rsid w:val="00E75CEA"/>
    <w:rsid w:val="00E771F9"/>
    <w:rsid w:val="00E774BA"/>
    <w:rsid w:val="00E77E76"/>
    <w:rsid w:val="00E80160"/>
    <w:rsid w:val="00E86E53"/>
    <w:rsid w:val="00E90AE7"/>
    <w:rsid w:val="00E91813"/>
    <w:rsid w:val="00E92296"/>
    <w:rsid w:val="00E93BA2"/>
    <w:rsid w:val="00E9735E"/>
    <w:rsid w:val="00E97CAE"/>
    <w:rsid w:val="00EA1647"/>
    <w:rsid w:val="00EA245A"/>
    <w:rsid w:val="00EA2BC3"/>
    <w:rsid w:val="00EA3E0C"/>
    <w:rsid w:val="00EA69E3"/>
    <w:rsid w:val="00EA6C3A"/>
    <w:rsid w:val="00EA71EF"/>
    <w:rsid w:val="00EA7672"/>
    <w:rsid w:val="00EB4550"/>
    <w:rsid w:val="00EB6046"/>
    <w:rsid w:val="00EC10B0"/>
    <w:rsid w:val="00EC1ECA"/>
    <w:rsid w:val="00EC5BD1"/>
    <w:rsid w:val="00EC6720"/>
    <w:rsid w:val="00ED00DB"/>
    <w:rsid w:val="00ED0B7D"/>
    <w:rsid w:val="00ED22AA"/>
    <w:rsid w:val="00ED2BC2"/>
    <w:rsid w:val="00ED2D0B"/>
    <w:rsid w:val="00ED33F5"/>
    <w:rsid w:val="00ED4A8A"/>
    <w:rsid w:val="00ED546A"/>
    <w:rsid w:val="00EE3459"/>
    <w:rsid w:val="00EE4577"/>
    <w:rsid w:val="00EE5535"/>
    <w:rsid w:val="00EE62B4"/>
    <w:rsid w:val="00EF1C38"/>
    <w:rsid w:val="00EF2F4D"/>
    <w:rsid w:val="00EF4989"/>
    <w:rsid w:val="00EF7C8C"/>
    <w:rsid w:val="00F011F4"/>
    <w:rsid w:val="00F035E2"/>
    <w:rsid w:val="00F062EF"/>
    <w:rsid w:val="00F14676"/>
    <w:rsid w:val="00F175D2"/>
    <w:rsid w:val="00F17932"/>
    <w:rsid w:val="00F2034B"/>
    <w:rsid w:val="00F2591A"/>
    <w:rsid w:val="00F26A05"/>
    <w:rsid w:val="00F317D7"/>
    <w:rsid w:val="00F34388"/>
    <w:rsid w:val="00F358A5"/>
    <w:rsid w:val="00F40028"/>
    <w:rsid w:val="00F40CD1"/>
    <w:rsid w:val="00F411CC"/>
    <w:rsid w:val="00F43042"/>
    <w:rsid w:val="00F4449A"/>
    <w:rsid w:val="00F515F4"/>
    <w:rsid w:val="00F5321A"/>
    <w:rsid w:val="00F55974"/>
    <w:rsid w:val="00F570B0"/>
    <w:rsid w:val="00F60BEA"/>
    <w:rsid w:val="00F66125"/>
    <w:rsid w:val="00F743B3"/>
    <w:rsid w:val="00F74C54"/>
    <w:rsid w:val="00F74F33"/>
    <w:rsid w:val="00F74F37"/>
    <w:rsid w:val="00F829B4"/>
    <w:rsid w:val="00F84E94"/>
    <w:rsid w:val="00F85744"/>
    <w:rsid w:val="00F9123D"/>
    <w:rsid w:val="00F924D6"/>
    <w:rsid w:val="00F92AE2"/>
    <w:rsid w:val="00F92C73"/>
    <w:rsid w:val="00F948C8"/>
    <w:rsid w:val="00F95B9C"/>
    <w:rsid w:val="00F978AF"/>
    <w:rsid w:val="00F97982"/>
    <w:rsid w:val="00FA2216"/>
    <w:rsid w:val="00FA22DD"/>
    <w:rsid w:val="00FA53D4"/>
    <w:rsid w:val="00FB339D"/>
    <w:rsid w:val="00FB5286"/>
    <w:rsid w:val="00FB5FD0"/>
    <w:rsid w:val="00FC1F9C"/>
    <w:rsid w:val="00FC25A7"/>
    <w:rsid w:val="00FC390E"/>
    <w:rsid w:val="00FC4D8C"/>
    <w:rsid w:val="00FC532F"/>
    <w:rsid w:val="00FC6DEB"/>
    <w:rsid w:val="00FC72E2"/>
    <w:rsid w:val="00FD097B"/>
    <w:rsid w:val="00FD219C"/>
    <w:rsid w:val="00FD423A"/>
    <w:rsid w:val="00FD44C8"/>
    <w:rsid w:val="00FE338B"/>
    <w:rsid w:val="00FE3566"/>
    <w:rsid w:val="00FE357A"/>
    <w:rsid w:val="00FE3FDE"/>
    <w:rsid w:val="00FE79C2"/>
    <w:rsid w:val="00FE7EE6"/>
    <w:rsid w:val="00FF1CD2"/>
    <w:rsid w:val="00FF612E"/>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C8036"/>
  <w15:docId w15:val="{C62CCD94-7440-4082-A6BC-AE349CC7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6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43"/>
    <w:rPr>
      <w:rFonts w:ascii="Tahoma" w:hAnsi="Tahoma" w:cs="Tahoma"/>
      <w:sz w:val="16"/>
      <w:szCs w:val="16"/>
    </w:rPr>
  </w:style>
  <w:style w:type="paragraph" w:styleId="Header">
    <w:name w:val="header"/>
    <w:basedOn w:val="Normal"/>
    <w:link w:val="HeaderChar"/>
    <w:uiPriority w:val="99"/>
    <w:unhideWhenUsed/>
    <w:rsid w:val="00A1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865"/>
  </w:style>
  <w:style w:type="paragraph" w:styleId="Footer">
    <w:name w:val="footer"/>
    <w:basedOn w:val="Normal"/>
    <w:link w:val="FooterChar"/>
    <w:uiPriority w:val="99"/>
    <w:unhideWhenUsed/>
    <w:rsid w:val="00A1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865"/>
  </w:style>
  <w:style w:type="paragraph" w:styleId="List">
    <w:name w:val="List"/>
    <w:basedOn w:val="Normal"/>
    <w:rsid w:val="00CE2370"/>
    <w:pPr>
      <w:spacing w:after="0" w:line="240" w:lineRule="auto"/>
      <w:ind w:left="360" w:hanging="360"/>
    </w:pPr>
    <w:rPr>
      <w:rFonts w:ascii="Times New Roman" w:eastAsia="MS Mincho" w:hAnsi="Times New Roman" w:cs="Times New Roman"/>
      <w:sz w:val="24"/>
      <w:szCs w:val="24"/>
      <w:lang w:eastAsia="ja-JP"/>
    </w:rPr>
  </w:style>
  <w:style w:type="table" w:styleId="LightList-Accent5">
    <w:name w:val="Light List Accent 5"/>
    <w:basedOn w:val="TableNormal"/>
    <w:uiPriority w:val="61"/>
    <w:rsid w:val="00943D6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E23D5"/>
    <w:pPr>
      <w:ind w:left="720"/>
      <w:contextualSpacing/>
    </w:pPr>
  </w:style>
  <w:style w:type="character" w:styleId="CommentReference">
    <w:name w:val="annotation reference"/>
    <w:basedOn w:val="DefaultParagraphFont"/>
    <w:uiPriority w:val="99"/>
    <w:semiHidden/>
    <w:unhideWhenUsed/>
    <w:rsid w:val="00AF1D79"/>
    <w:rPr>
      <w:sz w:val="16"/>
      <w:szCs w:val="16"/>
    </w:rPr>
  </w:style>
  <w:style w:type="paragraph" w:styleId="CommentText">
    <w:name w:val="annotation text"/>
    <w:basedOn w:val="Normal"/>
    <w:link w:val="CommentTextChar"/>
    <w:uiPriority w:val="99"/>
    <w:semiHidden/>
    <w:unhideWhenUsed/>
    <w:rsid w:val="00AF1D79"/>
    <w:pPr>
      <w:spacing w:line="240" w:lineRule="auto"/>
    </w:pPr>
    <w:rPr>
      <w:sz w:val="20"/>
      <w:szCs w:val="20"/>
    </w:rPr>
  </w:style>
  <w:style w:type="character" w:customStyle="1" w:styleId="CommentTextChar">
    <w:name w:val="Comment Text Char"/>
    <w:basedOn w:val="DefaultParagraphFont"/>
    <w:link w:val="CommentText"/>
    <w:uiPriority w:val="99"/>
    <w:semiHidden/>
    <w:rsid w:val="00AF1D79"/>
    <w:rPr>
      <w:sz w:val="20"/>
      <w:szCs w:val="20"/>
    </w:rPr>
  </w:style>
  <w:style w:type="paragraph" w:styleId="CommentSubject">
    <w:name w:val="annotation subject"/>
    <w:basedOn w:val="CommentText"/>
    <w:next w:val="CommentText"/>
    <w:link w:val="CommentSubjectChar"/>
    <w:uiPriority w:val="99"/>
    <w:semiHidden/>
    <w:unhideWhenUsed/>
    <w:rsid w:val="00AF1D79"/>
    <w:rPr>
      <w:b/>
      <w:bCs/>
    </w:rPr>
  </w:style>
  <w:style w:type="character" w:customStyle="1" w:styleId="CommentSubjectChar">
    <w:name w:val="Comment Subject Char"/>
    <w:basedOn w:val="CommentTextChar"/>
    <w:link w:val="CommentSubject"/>
    <w:uiPriority w:val="99"/>
    <w:semiHidden/>
    <w:rsid w:val="00AF1D79"/>
    <w:rPr>
      <w:b/>
      <w:bCs/>
      <w:sz w:val="20"/>
      <w:szCs w:val="20"/>
    </w:rPr>
  </w:style>
  <w:style w:type="character" w:styleId="Hyperlink">
    <w:name w:val="Hyperlink"/>
    <w:basedOn w:val="DefaultParagraphFont"/>
    <w:uiPriority w:val="99"/>
    <w:unhideWhenUsed/>
    <w:rsid w:val="005D2453"/>
    <w:rPr>
      <w:color w:val="0000FF" w:themeColor="hyperlink"/>
      <w:u w:val="single"/>
    </w:rPr>
  </w:style>
  <w:style w:type="paragraph" w:customStyle="1" w:styleId="MediumGrid1-Accent21">
    <w:name w:val="Medium Grid 1 - Accent 21"/>
    <w:basedOn w:val="Normal"/>
    <w:uiPriority w:val="34"/>
    <w:qFormat/>
    <w:rsid w:val="009413D6"/>
    <w:pPr>
      <w:spacing w:after="0" w:line="280" w:lineRule="exact"/>
      <w:ind w:left="720"/>
      <w:contextualSpacing/>
    </w:pPr>
    <w:rPr>
      <w:rFonts w:ascii="Arial" w:eastAsia="Calibri" w:hAnsi="Arial" w:cs="Times New Roman"/>
      <w:color w:val="3232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460">
      <w:bodyDiv w:val="1"/>
      <w:marLeft w:val="0"/>
      <w:marRight w:val="0"/>
      <w:marTop w:val="0"/>
      <w:marBottom w:val="0"/>
      <w:divBdr>
        <w:top w:val="none" w:sz="0" w:space="0" w:color="auto"/>
        <w:left w:val="none" w:sz="0" w:space="0" w:color="auto"/>
        <w:bottom w:val="none" w:sz="0" w:space="0" w:color="auto"/>
        <w:right w:val="none" w:sz="0" w:space="0" w:color="auto"/>
      </w:divBdr>
    </w:div>
    <w:div w:id="74783154">
      <w:bodyDiv w:val="1"/>
      <w:marLeft w:val="0"/>
      <w:marRight w:val="0"/>
      <w:marTop w:val="0"/>
      <w:marBottom w:val="0"/>
      <w:divBdr>
        <w:top w:val="none" w:sz="0" w:space="0" w:color="auto"/>
        <w:left w:val="none" w:sz="0" w:space="0" w:color="auto"/>
        <w:bottom w:val="none" w:sz="0" w:space="0" w:color="auto"/>
        <w:right w:val="none" w:sz="0" w:space="0" w:color="auto"/>
      </w:divBdr>
    </w:div>
    <w:div w:id="225993348">
      <w:bodyDiv w:val="1"/>
      <w:marLeft w:val="0"/>
      <w:marRight w:val="0"/>
      <w:marTop w:val="0"/>
      <w:marBottom w:val="0"/>
      <w:divBdr>
        <w:top w:val="none" w:sz="0" w:space="0" w:color="auto"/>
        <w:left w:val="none" w:sz="0" w:space="0" w:color="auto"/>
        <w:bottom w:val="none" w:sz="0" w:space="0" w:color="auto"/>
        <w:right w:val="none" w:sz="0" w:space="0" w:color="auto"/>
      </w:divBdr>
    </w:div>
    <w:div w:id="249850574">
      <w:bodyDiv w:val="1"/>
      <w:marLeft w:val="0"/>
      <w:marRight w:val="0"/>
      <w:marTop w:val="0"/>
      <w:marBottom w:val="0"/>
      <w:divBdr>
        <w:top w:val="none" w:sz="0" w:space="0" w:color="auto"/>
        <w:left w:val="none" w:sz="0" w:space="0" w:color="auto"/>
        <w:bottom w:val="none" w:sz="0" w:space="0" w:color="auto"/>
        <w:right w:val="none" w:sz="0" w:space="0" w:color="auto"/>
      </w:divBdr>
    </w:div>
    <w:div w:id="416941984">
      <w:bodyDiv w:val="1"/>
      <w:marLeft w:val="0"/>
      <w:marRight w:val="0"/>
      <w:marTop w:val="0"/>
      <w:marBottom w:val="0"/>
      <w:divBdr>
        <w:top w:val="none" w:sz="0" w:space="0" w:color="auto"/>
        <w:left w:val="none" w:sz="0" w:space="0" w:color="auto"/>
        <w:bottom w:val="none" w:sz="0" w:space="0" w:color="auto"/>
        <w:right w:val="none" w:sz="0" w:space="0" w:color="auto"/>
      </w:divBdr>
    </w:div>
    <w:div w:id="491721004">
      <w:bodyDiv w:val="1"/>
      <w:marLeft w:val="0"/>
      <w:marRight w:val="0"/>
      <w:marTop w:val="0"/>
      <w:marBottom w:val="0"/>
      <w:divBdr>
        <w:top w:val="none" w:sz="0" w:space="0" w:color="auto"/>
        <w:left w:val="none" w:sz="0" w:space="0" w:color="auto"/>
        <w:bottom w:val="none" w:sz="0" w:space="0" w:color="auto"/>
        <w:right w:val="none" w:sz="0" w:space="0" w:color="auto"/>
      </w:divBdr>
    </w:div>
    <w:div w:id="511722869">
      <w:bodyDiv w:val="1"/>
      <w:marLeft w:val="0"/>
      <w:marRight w:val="0"/>
      <w:marTop w:val="0"/>
      <w:marBottom w:val="0"/>
      <w:divBdr>
        <w:top w:val="none" w:sz="0" w:space="0" w:color="auto"/>
        <w:left w:val="none" w:sz="0" w:space="0" w:color="auto"/>
        <w:bottom w:val="none" w:sz="0" w:space="0" w:color="auto"/>
        <w:right w:val="none" w:sz="0" w:space="0" w:color="auto"/>
      </w:divBdr>
    </w:div>
    <w:div w:id="537665667">
      <w:bodyDiv w:val="1"/>
      <w:marLeft w:val="0"/>
      <w:marRight w:val="0"/>
      <w:marTop w:val="0"/>
      <w:marBottom w:val="0"/>
      <w:divBdr>
        <w:top w:val="none" w:sz="0" w:space="0" w:color="auto"/>
        <w:left w:val="none" w:sz="0" w:space="0" w:color="auto"/>
        <w:bottom w:val="none" w:sz="0" w:space="0" w:color="auto"/>
        <w:right w:val="none" w:sz="0" w:space="0" w:color="auto"/>
      </w:divBdr>
    </w:div>
    <w:div w:id="585500446">
      <w:bodyDiv w:val="1"/>
      <w:marLeft w:val="0"/>
      <w:marRight w:val="0"/>
      <w:marTop w:val="0"/>
      <w:marBottom w:val="0"/>
      <w:divBdr>
        <w:top w:val="none" w:sz="0" w:space="0" w:color="auto"/>
        <w:left w:val="none" w:sz="0" w:space="0" w:color="auto"/>
        <w:bottom w:val="none" w:sz="0" w:space="0" w:color="auto"/>
        <w:right w:val="none" w:sz="0" w:space="0" w:color="auto"/>
      </w:divBdr>
    </w:div>
    <w:div w:id="617175976">
      <w:bodyDiv w:val="1"/>
      <w:marLeft w:val="0"/>
      <w:marRight w:val="0"/>
      <w:marTop w:val="0"/>
      <w:marBottom w:val="0"/>
      <w:divBdr>
        <w:top w:val="none" w:sz="0" w:space="0" w:color="auto"/>
        <w:left w:val="none" w:sz="0" w:space="0" w:color="auto"/>
        <w:bottom w:val="none" w:sz="0" w:space="0" w:color="auto"/>
        <w:right w:val="none" w:sz="0" w:space="0" w:color="auto"/>
      </w:divBdr>
    </w:div>
    <w:div w:id="715475306">
      <w:bodyDiv w:val="1"/>
      <w:marLeft w:val="0"/>
      <w:marRight w:val="0"/>
      <w:marTop w:val="0"/>
      <w:marBottom w:val="0"/>
      <w:divBdr>
        <w:top w:val="none" w:sz="0" w:space="0" w:color="auto"/>
        <w:left w:val="none" w:sz="0" w:space="0" w:color="auto"/>
        <w:bottom w:val="none" w:sz="0" w:space="0" w:color="auto"/>
        <w:right w:val="none" w:sz="0" w:space="0" w:color="auto"/>
      </w:divBdr>
    </w:div>
    <w:div w:id="721487799">
      <w:bodyDiv w:val="1"/>
      <w:marLeft w:val="0"/>
      <w:marRight w:val="0"/>
      <w:marTop w:val="0"/>
      <w:marBottom w:val="0"/>
      <w:divBdr>
        <w:top w:val="none" w:sz="0" w:space="0" w:color="auto"/>
        <w:left w:val="none" w:sz="0" w:space="0" w:color="auto"/>
        <w:bottom w:val="none" w:sz="0" w:space="0" w:color="auto"/>
        <w:right w:val="none" w:sz="0" w:space="0" w:color="auto"/>
      </w:divBdr>
    </w:div>
    <w:div w:id="759645589">
      <w:bodyDiv w:val="1"/>
      <w:marLeft w:val="0"/>
      <w:marRight w:val="0"/>
      <w:marTop w:val="0"/>
      <w:marBottom w:val="0"/>
      <w:divBdr>
        <w:top w:val="none" w:sz="0" w:space="0" w:color="auto"/>
        <w:left w:val="none" w:sz="0" w:space="0" w:color="auto"/>
        <w:bottom w:val="none" w:sz="0" w:space="0" w:color="auto"/>
        <w:right w:val="none" w:sz="0" w:space="0" w:color="auto"/>
      </w:divBdr>
    </w:div>
    <w:div w:id="844243799">
      <w:bodyDiv w:val="1"/>
      <w:marLeft w:val="0"/>
      <w:marRight w:val="0"/>
      <w:marTop w:val="0"/>
      <w:marBottom w:val="0"/>
      <w:divBdr>
        <w:top w:val="none" w:sz="0" w:space="0" w:color="auto"/>
        <w:left w:val="none" w:sz="0" w:space="0" w:color="auto"/>
        <w:bottom w:val="none" w:sz="0" w:space="0" w:color="auto"/>
        <w:right w:val="none" w:sz="0" w:space="0" w:color="auto"/>
      </w:divBdr>
    </w:div>
    <w:div w:id="922648467">
      <w:bodyDiv w:val="1"/>
      <w:marLeft w:val="0"/>
      <w:marRight w:val="0"/>
      <w:marTop w:val="0"/>
      <w:marBottom w:val="0"/>
      <w:divBdr>
        <w:top w:val="none" w:sz="0" w:space="0" w:color="auto"/>
        <w:left w:val="none" w:sz="0" w:space="0" w:color="auto"/>
        <w:bottom w:val="none" w:sz="0" w:space="0" w:color="auto"/>
        <w:right w:val="none" w:sz="0" w:space="0" w:color="auto"/>
      </w:divBdr>
    </w:div>
    <w:div w:id="947587664">
      <w:bodyDiv w:val="1"/>
      <w:marLeft w:val="0"/>
      <w:marRight w:val="0"/>
      <w:marTop w:val="0"/>
      <w:marBottom w:val="0"/>
      <w:divBdr>
        <w:top w:val="none" w:sz="0" w:space="0" w:color="auto"/>
        <w:left w:val="none" w:sz="0" w:space="0" w:color="auto"/>
        <w:bottom w:val="none" w:sz="0" w:space="0" w:color="auto"/>
        <w:right w:val="none" w:sz="0" w:space="0" w:color="auto"/>
      </w:divBdr>
    </w:div>
    <w:div w:id="1018042640">
      <w:bodyDiv w:val="1"/>
      <w:marLeft w:val="0"/>
      <w:marRight w:val="0"/>
      <w:marTop w:val="0"/>
      <w:marBottom w:val="0"/>
      <w:divBdr>
        <w:top w:val="none" w:sz="0" w:space="0" w:color="auto"/>
        <w:left w:val="none" w:sz="0" w:space="0" w:color="auto"/>
        <w:bottom w:val="none" w:sz="0" w:space="0" w:color="auto"/>
        <w:right w:val="none" w:sz="0" w:space="0" w:color="auto"/>
      </w:divBdr>
    </w:div>
    <w:div w:id="1101417597">
      <w:bodyDiv w:val="1"/>
      <w:marLeft w:val="0"/>
      <w:marRight w:val="0"/>
      <w:marTop w:val="0"/>
      <w:marBottom w:val="0"/>
      <w:divBdr>
        <w:top w:val="none" w:sz="0" w:space="0" w:color="auto"/>
        <w:left w:val="none" w:sz="0" w:space="0" w:color="auto"/>
        <w:bottom w:val="none" w:sz="0" w:space="0" w:color="auto"/>
        <w:right w:val="none" w:sz="0" w:space="0" w:color="auto"/>
      </w:divBdr>
    </w:div>
    <w:div w:id="1128015815">
      <w:bodyDiv w:val="1"/>
      <w:marLeft w:val="0"/>
      <w:marRight w:val="0"/>
      <w:marTop w:val="0"/>
      <w:marBottom w:val="0"/>
      <w:divBdr>
        <w:top w:val="none" w:sz="0" w:space="0" w:color="auto"/>
        <w:left w:val="none" w:sz="0" w:space="0" w:color="auto"/>
        <w:bottom w:val="none" w:sz="0" w:space="0" w:color="auto"/>
        <w:right w:val="none" w:sz="0" w:space="0" w:color="auto"/>
      </w:divBdr>
    </w:div>
    <w:div w:id="1157065352">
      <w:bodyDiv w:val="1"/>
      <w:marLeft w:val="0"/>
      <w:marRight w:val="0"/>
      <w:marTop w:val="0"/>
      <w:marBottom w:val="0"/>
      <w:divBdr>
        <w:top w:val="none" w:sz="0" w:space="0" w:color="auto"/>
        <w:left w:val="none" w:sz="0" w:space="0" w:color="auto"/>
        <w:bottom w:val="none" w:sz="0" w:space="0" w:color="auto"/>
        <w:right w:val="none" w:sz="0" w:space="0" w:color="auto"/>
      </w:divBdr>
    </w:div>
    <w:div w:id="1171487553">
      <w:bodyDiv w:val="1"/>
      <w:marLeft w:val="0"/>
      <w:marRight w:val="0"/>
      <w:marTop w:val="0"/>
      <w:marBottom w:val="0"/>
      <w:divBdr>
        <w:top w:val="none" w:sz="0" w:space="0" w:color="auto"/>
        <w:left w:val="none" w:sz="0" w:space="0" w:color="auto"/>
        <w:bottom w:val="none" w:sz="0" w:space="0" w:color="auto"/>
        <w:right w:val="none" w:sz="0" w:space="0" w:color="auto"/>
      </w:divBdr>
    </w:div>
    <w:div w:id="1174568232">
      <w:bodyDiv w:val="1"/>
      <w:marLeft w:val="0"/>
      <w:marRight w:val="0"/>
      <w:marTop w:val="0"/>
      <w:marBottom w:val="0"/>
      <w:divBdr>
        <w:top w:val="none" w:sz="0" w:space="0" w:color="auto"/>
        <w:left w:val="none" w:sz="0" w:space="0" w:color="auto"/>
        <w:bottom w:val="none" w:sz="0" w:space="0" w:color="auto"/>
        <w:right w:val="none" w:sz="0" w:space="0" w:color="auto"/>
      </w:divBdr>
    </w:div>
    <w:div w:id="1310356249">
      <w:bodyDiv w:val="1"/>
      <w:marLeft w:val="0"/>
      <w:marRight w:val="0"/>
      <w:marTop w:val="0"/>
      <w:marBottom w:val="0"/>
      <w:divBdr>
        <w:top w:val="none" w:sz="0" w:space="0" w:color="auto"/>
        <w:left w:val="none" w:sz="0" w:space="0" w:color="auto"/>
        <w:bottom w:val="none" w:sz="0" w:space="0" w:color="auto"/>
        <w:right w:val="none" w:sz="0" w:space="0" w:color="auto"/>
      </w:divBdr>
    </w:div>
    <w:div w:id="1319576243">
      <w:bodyDiv w:val="1"/>
      <w:marLeft w:val="0"/>
      <w:marRight w:val="0"/>
      <w:marTop w:val="0"/>
      <w:marBottom w:val="0"/>
      <w:divBdr>
        <w:top w:val="none" w:sz="0" w:space="0" w:color="auto"/>
        <w:left w:val="none" w:sz="0" w:space="0" w:color="auto"/>
        <w:bottom w:val="none" w:sz="0" w:space="0" w:color="auto"/>
        <w:right w:val="none" w:sz="0" w:space="0" w:color="auto"/>
      </w:divBdr>
    </w:div>
    <w:div w:id="1369918710">
      <w:bodyDiv w:val="1"/>
      <w:marLeft w:val="0"/>
      <w:marRight w:val="0"/>
      <w:marTop w:val="0"/>
      <w:marBottom w:val="0"/>
      <w:divBdr>
        <w:top w:val="none" w:sz="0" w:space="0" w:color="auto"/>
        <w:left w:val="none" w:sz="0" w:space="0" w:color="auto"/>
        <w:bottom w:val="none" w:sz="0" w:space="0" w:color="auto"/>
        <w:right w:val="none" w:sz="0" w:space="0" w:color="auto"/>
      </w:divBdr>
    </w:div>
    <w:div w:id="1396203562">
      <w:bodyDiv w:val="1"/>
      <w:marLeft w:val="0"/>
      <w:marRight w:val="0"/>
      <w:marTop w:val="0"/>
      <w:marBottom w:val="0"/>
      <w:divBdr>
        <w:top w:val="none" w:sz="0" w:space="0" w:color="auto"/>
        <w:left w:val="none" w:sz="0" w:space="0" w:color="auto"/>
        <w:bottom w:val="none" w:sz="0" w:space="0" w:color="auto"/>
        <w:right w:val="none" w:sz="0" w:space="0" w:color="auto"/>
      </w:divBdr>
    </w:div>
    <w:div w:id="1530098613">
      <w:bodyDiv w:val="1"/>
      <w:marLeft w:val="0"/>
      <w:marRight w:val="0"/>
      <w:marTop w:val="0"/>
      <w:marBottom w:val="0"/>
      <w:divBdr>
        <w:top w:val="none" w:sz="0" w:space="0" w:color="auto"/>
        <w:left w:val="none" w:sz="0" w:space="0" w:color="auto"/>
        <w:bottom w:val="none" w:sz="0" w:space="0" w:color="auto"/>
        <w:right w:val="none" w:sz="0" w:space="0" w:color="auto"/>
      </w:divBdr>
    </w:div>
    <w:div w:id="1631008654">
      <w:bodyDiv w:val="1"/>
      <w:marLeft w:val="0"/>
      <w:marRight w:val="0"/>
      <w:marTop w:val="0"/>
      <w:marBottom w:val="0"/>
      <w:divBdr>
        <w:top w:val="none" w:sz="0" w:space="0" w:color="auto"/>
        <w:left w:val="none" w:sz="0" w:space="0" w:color="auto"/>
        <w:bottom w:val="none" w:sz="0" w:space="0" w:color="auto"/>
        <w:right w:val="none" w:sz="0" w:space="0" w:color="auto"/>
      </w:divBdr>
    </w:div>
    <w:div w:id="1838615566">
      <w:bodyDiv w:val="1"/>
      <w:marLeft w:val="0"/>
      <w:marRight w:val="0"/>
      <w:marTop w:val="0"/>
      <w:marBottom w:val="0"/>
      <w:divBdr>
        <w:top w:val="none" w:sz="0" w:space="0" w:color="auto"/>
        <w:left w:val="none" w:sz="0" w:space="0" w:color="auto"/>
        <w:bottom w:val="none" w:sz="0" w:space="0" w:color="auto"/>
        <w:right w:val="none" w:sz="0" w:space="0" w:color="auto"/>
      </w:divBdr>
    </w:div>
    <w:div w:id="1881354219">
      <w:bodyDiv w:val="1"/>
      <w:marLeft w:val="0"/>
      <w:marRight w:val="0"/>
      <w:marTop w:val="0"/>
      <w:marBottom w:val="0"/>
      <w:divBdr>
        <w:top w:val="none" w:sz="0" w:space="0" w:color="auto"/>
        <w:left w:val="none" w:sz="0" w:space="0" w:color="auto"/>
        <w:bottom w:val="none" w:sz="0" w:space="0" w:color="auto"/>
        <w:right w:val="none" w:sz="0" w:space="0" w:color="auto"/>
      </w:divBdr>
    </w:div>
    <w:div w:id="1897469930">
      <w:bodyDiv w:val="1"/>
      <w:marLeft w:val="0"/>
      <w:marRight w:val="0"/>
      <w:marTop w:val="0"/>
      <w:marBottom w:val="0"/>
      <w:divBdr>
        <w:top w:val="none" w:sz="0" w:space="0" w:color="auto"/>
        <w:left w:val="none" w:sz="0" w:space="0" w:color="auto"/>
        <w:bottom w:val="none" w:sz="0" w:space="0" w:color="auto"/>
        <w:right w:val="none" w:sz="0" w:space="0" w:color="auto"/>
      </w:divBdr>
    </w:div>
    <w:div w:id="1920094039">
      <w:bodyDiv w:val="1"/>
      <w:marLeft w:val="0"/>
      <w:marRight w:val="0"/>
      <w:marTop w:val="0"/>
      <w:marBottom w:val="0"/>
      <w:divBdr>
        <w:top w:val="none" w:sz="0" w:space="0" w:color="auto"/>
        <w:left w:val="none" w:sz="0" w:space="0" w:color="auto"/>
        <w:bottom w:val="none" w:sz="0" w:space="0" w:color="auto"/>
        <w:right w:val="none" w:sz="0" w:space="0" w:color="auto"/>
      </w:divBdr>
    </w:div>
    <w:div w:id="1933315011">
      <w:bodyDiv w:val="1"/>
      <w:marLeft w:val="0"/>
      <w:marRight w:val="0"/>
      <w:marTop w:val="0"/>
      <w:marBottom w:val="0"/>
      <w:divBdr>
        <w:top w:val="none" w:sz="0" w:space="0" w:color="auto"/>
        <w:left w:val="none" w:sz="0" w:space="0" w:color="auto"/>
        <w:bottom w:val="none" w:sz="0" w:space="0" w:color="auto"/>
        <w:right w:val="none" w:sz="0" w:space="0" w:color="auto"/>
      </w:divBdr>
    </w:div>
    <w:div w:id="1945726588">
      <w:bodyDiv w:val="1"/>
      <w:marLeft w:val="0"/>
      <w:marRight w:val="0"/>
      <w:marTop w:val="0"/>
      <w:marBottom w:val="0"/>
      <w:divBdr>
        <w:top w:val="none" w:sz="0" w:space="0" w:color="auto"/>
        <w:left w:val="none" w:sz="0" w:space="0" w:color="auto"/>
        <w:bottom w:val="none" w:sz="0" w:space="0" w:color="auto"/>
        <w:right w:val="none" w:sz="0" w:space="0" w:color="auto"/>
      </w:divBdr>
    </w:div>
    <w:div w:id="1999189554">
      <w:bodyDiv w:val="1"/>
      <w:marLeft w:val="0"/>
      <w:marRight w:val="0"/>
      <w:marTop w:val="0"/>
      <w:marBottom w:val="0"/>
      <w:divBdr>
        <w:top w:val="none" w:sz="0" w:space="0" w:color="auto"/>
        <w:left w:val="none" w:sz="0" w:space="0" w:color="auto"/>
        <w:bottom w:val="none" w:sz="0" w:space="0" w:color="auto"/>
        <w:right w:val="none" w:sz="0" w:space="0" w:color="auto"/>
      </w:divBdr>
    </w:div>
    <w:div w:id="2010523969">
      <w:bodyDiv w:val="1"/>
      <w:marLeft w:val="0"/>
      <w:marRight w:val="0"/>
      <w:marTop w:val="0"/>
      <w:marBottom w:val="0"/>
      <w:divBdr>
        <w:top w:val="none" w:sz="0" w:space="0" w:color="auto"/>
        <w:left w:val="none" w:sz="0" w:space="0" w:color="auto"/>
        <w:bottom w:val="none" w:sz="0" w:space="0" w:color="auto"/>
        <w:right w:val="none" w:sz="0" w:space="0" w:color="auto"/>
      </w:divBdr>
    </w:div>
    <w:div w:id="2072193544">
      <w:bodyDiv w:val="1"/>
      <w:marLeft w:val="0"/>
      <w:marRight w:val="0"/>
      <w:marTop w:val="0"/>
      <w:marBottom w:val="0"/>
      <w:divBdr>
        <w:top w:val="none" w:sz="0" w:space="0" w:color="auto"/>
        <w:left w:val="none" w:sz="0" w:space="0" w:color="auto"/>
        <w:bottom w:val="none" w:sz="0" w:space="0" w:color="auto"/>
        <w:right w:val="none" w:sz="0" w:space="0" w:color="auto"/>
      </w:divBdr>
    </w:div>
    <w:div w:id="2077243258">
      <w:bodyDiv w:val="1"/>
      <w:marLeft w:val="0"/>
      <w:marRight w:val="0"/>
      <w:marTop w:val="0"/>
      <w:marBottom w:val="0"/>
      <w:divBdr>
        <w:top w:val="none" w:sz="0" w:space="0" w:color="auto"/>
        <w:left w:val="none" w:sz="0" w:space="0" w:color="auto"/>
        <w:bottom w:val="none" w:sz="0" w:space="0" w:color="auto"/>
        <w:right w:val="none" w:sz="0" w:space="0" w:color="auto"/>
      </w:divBdr>
    </w:div>
    <w:div w:id="2103917250">
      <w:bodyDiv w:val="1"/>
      <w:marLeft w:val="0"/>
      <w:marRight w:val="0"/>
      <w:marTop w:val="0"/>
      <w:marBottom w:val="0"/>
      <w:divBdr>
        <w:top w:val="none" w:sz="0" w:space="0" w:color="auto"/>
        <w:left w:val="none" w:sz="0" w:space="0" w:color="auto"/>
        <w:bottom w:val="none" w:sz="0" w:space="0" w:color="auto"/>
        <w:right w:val="none" w:sz="0" w:space="0" w:color="auto"/>
      </w:divBdr>
    </w:div>
    <w:div w:id="2132819991">
      <w:bodyDiv w:val="1"/>
      <w:marLeft w:val="0"/>
      <w:marRight w:val="0"/>
      <w:marTop w:val="0"/>
      <w:marBottom w:val="0"/>
      <w:divBdr>
        <w:top w:val="none" w:sz="0" w:space="0" w:color="auto"/>
        <w:left w:val="none" w:sz="0" w:space="0" w:color="auto"/>
        <w:bottom w:val="none" w:sz="0" w:space="0" w:color="auto"/>
        <w:right w:val="none" w:sz="0" w:space="0" w:color="auto"/>
      </w:divBdr>
    </w:div>
    <w:div w:id="213490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6.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png"/><Relationship Id="rId25" Type="http://schemas.openxmlformats.org/officeDocument/2006/relationships/chart" Target="charts/chart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6.png"/><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9.xml"/><Relationship Id="rId28" Type="http://schemas.openxmlformats.org/officeDocument/2006/relationships/image" Target="media/image10.png"/><Relationship Id="rId10" Type="http://schemas.openxmlformats.org/officeDocument/2006/relationships/chart" Target="charts/chart2.xml"/><Relationship Id="rId19" Type="http://schemas.openxmlformats.org/officeDocument/2006/relationships/chart" Target="charts/chart7.xml"/><Relationship Id="rId31" Type="http://schemas.openxmlformats.org/officeDocument/2006/relationships/hyperlink" Target="http://www.hsx.v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image" Target="media/image7.png"/><Relationship Id="rId27" Type="http://schemas.openxmlformats.org/officeDocument/2006/relationships/chart" Target="charts/chart11.xml"/><Relationship Id="rId30" Type="http://schemas.openxmlformats.org/officeDocument/2006/relationships/hyperlink" Target="http://www.hsx.vn" TargetMode="External"/><Relationship Id="rId8"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Z:\DU%20LIEU%20TTTT\4.Factsheet\Factsheet_mod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Z:\DU%20LIEU%20TTTT\4.Factsheet\Factsheet_model.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Z:\DU%20LIEU%20TTTT\4.Factsheet\Factsheet_mod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Z:\DU%20LIEU%20TTTT\4.Factsheet\Factsheet_mode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Z:\DU%20LIEU%20TTTT\4.Factsheet\Factsheet_mod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Z:\DU%20LIEU%20TTTT\4.Factsheet\Factsheet_mode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Z:\DU%20LIEU%20TTTT\4.Factsheet\Factsheet_mod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Z:\DU%20LIEU%20TTTT\4.Factsheet\Factsheet_model.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Z:\DU%20LIEU%20TTTT\4.Factsheet\Factsheet_model.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172.16.3.18\hsx\WORKGROUP\NCPT\DEPT.%20DATA\2_INDEX\3-DANH%20GIA%20CHI%20SO\Factsheet\Factsheet_mod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Z:\DU%20LIEU%20TTTT\4.Factsheet\Factsheet_model.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Z:\DU%20LIEU%20TTTT\4.Factsheet\Factsheet_mod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Charts!$AE$2</c:f>
          <c:strCache>
            <c:ptCount val="1"/>
            <c:pt idx="0">
              <c:v>Indices performance from 31/05/2016 to 31/05/2019</c:v>
            </c:pt>
          </c:strCache>
        </c:strRef>
      </c:tx>
      <c:overlay val="0"/>
      <c:txPr>
        <a:bodyPr/>
        <a:lstStyle/>
        <a:p>
          <a:pPr>
            <a:defRPr sz="1100">
              <a:latin typeface="Times New Roman" pitchFamily="18" charset="0"/>
              <a:cs typeface="Times New Roman" pitchFamily="18" charset="0"/>
            </a:defRPr>
          </a:pPr>
          <a:endParaRPr lang="en-US"/>
        </a:p>
      </c:txPr>
    </c:title>
    <c:autoTitleDeleted val="0"/>
    <c:plotArea>
      <c:layout>
        <c:manualLayout>
          <c:layoutTarget val="inner"/>
          <c:xMode val="edge"/>
          <c:yMode val="edge"/>
          <c:x val="5.564617513705334E-2"/>
          <c:y val="0.2369232527573058"/>
          <c:w val="0.75013777619952426"/>
          <c:h val="0.60737870735471788"/>
        </c:manualLayout>
      </c:layout>
      <c:lineChart>
        <c:grouping val="standard"/>
        <c:varyColors val="0"/>
        <c:ser>
          <c:idx val="0"/>
          <c:order val="0"/>
          <c:tx>
            <c:strRef>
              <c:f>Charts!$AF$4</c:f>
              <c:strCache>
                <c:ptCount val="1"/>
                <c:pt idx="0">
                  <c:v>VN30</c:v>
                </c:pt>
              </c:strCache>
            </c:strRef>
          </c:tx>
          <c:spPr>
            <a:ln w="19050"/>
          </c:spPr>
          <c:marker>
            <c:symbol val="none"/>
          </c:marker>
          <c:cat>
            <c:numRef>
              <c:f>Charts!$AE$5:$AE$42</c:f>
              <c:numCache>
                <c:formatCode>dd/mm/yyyy</c:formatCode>
                <c:ptCount val="38"/>
                <c:pt idx="0">
                  <c:v>42521</c:v>
                </c:pt>
                <c:pt idx="1">
                  <c:v>42551</c:v>
                </c:pt>
                <c:pt idx="2">
                  <c:v>42580</c:v>
                </c:pt>
                <c:pt idx="3">
                  <c:v>42613</c:v>
                </c:pt>
                <c:pt idx="4">
                  <c:v>42643</c:v>
                </c:pt>
                <c:pt idx="5">
                  <c:v>42674</c:v>
                </c:pt>
                <c:pt idx="6">
                  <c:v>42704</c:v>
                </c:pt>
                <c:pt idx="7">
                  <c:v>42734</c:v>
                </c:pt>
                <c:pt idx="8">
                  <c:v>42760</c:v>
                </c:pt>
                <c:pt idx="9">
                  <c:v>42794</c:v>
                </c:pt>
                <c:pt idx="10">
                  <c:v>42825</c:v>
                </c:pt>
                <c:pt idx="11">
                  <c:v>42853</c:v>
                </c:pt>
                <c:pt idx="12">
                  <c:v>42886</c:v>
                </c:pt>
                <c:pt idx="13">
                  <c:v>42916</c:v>
                </c:pt>
                <c:pt idx="14">
                  <c:v>42947</c:v>
                </c:pt>
                <c:pt idx="15">
                  <c:v>42978</c:v>
                </c:pt>
                <c:pt idx="16">
                  <c:v>43007</c:v>
                </c:pt>
                <c:pt idx="17">
                  <c:v>43039</c:v>
                </c:pt>
                <c:pt idx="18">
                  <c:v>43069</c:v>
                </c:pt>
                <c:pt idx="19">
                  <c:v>43098</c:v>
                </c:pt>
                <c:pt idx="20">
                  <c:v>43131</c:v>
                </c:pt>
                <c:pt idx="21">
                  <c:v>43159</c:v>
                </c:pt>
                <c:pt idx="22">
                  <c:v>43189</c:v>
                </c:pt>
                <c:pt idx="23">
                  <c:v>43217</c:v>
                </c:pt>
                <c:pt idx="24">
                  <c:v>43251</c:v>
                </c:pt>
                <c:pt idx="25">
                  <c:v>43280</c:v>
                </c:pt>
                <c:pt idx="26">
                  <c:v>43312</c:v>
                </c:pt>
                <c:pt idx="27">
                  <c:v>43343</c:v>
                </c:pt>
                <c:pt idx="28">
                  <c:v>43371</c:v>
                </c:pt>
                <c:pt idx="29">
                  <c:v>43404</c:v>
                </c:pt>
                <c:pt idx="30">
                  <c:v>43434</c:v>
                </c:pt>
                <c:pt idx="31">
                  <c:v>43462</c:v>
                </c:pt>
                <c:pt idx="32">
                  <c:v>43496</c:v>
                </c:pt>
                <c:pt idx="33">
                  <c:v>43524</c:v>
                </c:pt>
                <c:pt idx="34">
                  <c:v>43553</c:v>
                </c:pt>
                <c:pt idx="35">
                  <c:v>43581</c:v>
                </c:pt>
                <c:pt idx="36">
                  <c:v>43616</c:v>
                </c:pt>
                <c:pt idx="37">
                  <c:v>43494</c:v>
                </c:pt>
              </c:numCache>
            </c:numRef>
          </c:cat>
          <c:val>
            <c:numRef>
              <c:f>Charts!$AF$5:$AF$42</c:f>
              <c:numCache>
                <c:formatCode>0.00</c:formatCode>
                <c:ptCount val="38"/>
                <c:pt idx="0">
                  <c:v>100</c:v>
                </c:pt>
                <c:pt idx="1">
                  <c:v>100.69147557973825</c:v>
                </c:pt>
                <c:pt idx="2">
                  <c:v>103.50595932115554</c:v>
                </c:pt>
                <c:pt idx="3">
                  <c:v>107.72930431403032</c:v>
                </c:pt>
                <c:pt idx="4">
                  <c:v>108.24588677289806</c:v>
                </c:pt>
                <c:pt idx="5">
                  <c:v>104.32374659930043</c:v>
                </c:pt>
                <c:pt idx="6">
                  <c:v>102.32705013602799</c:v>
                </c:pt>
                <c:pt idx="7">
                  <c:v>101.73111802046903</c:v>
                </c:pt>
                <c:pt idx="8">
                  <c:v>104.41605130198217</c:v>
                </c:pt>
                <c:pt idx="9">
                  <c:v>106.54715636740518</c:v>
                </c:pt>
                <c:pt idx="10">
                  <c:v>112.25871226842867</c:v>
                </c:pt>
                <c:pt idx="11">
                  <c:v>110.19724057520418</c:v>
                </c:pt>
                <c:pt idx="12">
                  <c:v>115.53148076175687</c:v>
                </c:pt>
                <c:pt idx="13">
                  <c:v>123.94902189402789</c:v>
                </c:pt>
                <c:pt idx="14">
                  <c:v>122.46404974737681</c:v>
                </c:pt>
                <c:pt idx="15">
                  <c:v>124.70527270371831</c:v>
                </c:pt>
                <c:pt idx="16">
                  <c:v>128.37155071900523</c:v>
                </c:pt>
                <c:pt idx="17">
                  <c:v>134.67094183184372</c:v>
                </c:pt>
                <c:pt idx="18">
                  <c:v>152.71570151574053</c:v>
                </c:pt>
                <c:pt idx="19">
                  <c:v>157.97383080709949</c:v>
                </c:pt>
                <c:pt idx="20">
                  <c:v>177.46793626117383</c:v>
                </c:pt>
                <c:pt idx="21">
                  <c:v>179.46463272444623</c:v>
                </c:pt>
                <c:pt idx="22">
                  <c:v>186.72755538282161</c:v>
                </c:pt>
                <c:pt idx="23">
                  <c:v>166.46748283456407</c:v>
                </c:pt>
                <c:pt idx="24">
                  <c:v>153.40555771472989</c:v>
                </c:pt>
                <c:pt idx="25">
                  <c:v>153.44442285270114</c:v>
                </c:pt>
                <c:pt idx="26">
                  <c:v>152.93107915533102</c:v>
                </c:pt>
                <c:pt idx="27">
                  <c:v>156.95524031610316</c:v>
                </c:pt>
                <c:pt idx="28">
                  <c:v>161.08466122554742</c:v>
                </c:pt>
                <c:pt idx="29">
                  <c:v>145.99851016971115</c:v>
                </c:pt>
                <c:pt idx="30">
                  <c:v>144.90057002202354</c:v>
                </c:pt>
                <c:pt idx="31">
                  <c:v>138.455434641793</c:v>
                </c:pt>
                <c:pt idx="32">
                  <c:v>140.24808913071638</c:v>
                </c:pt>
                <c:pt idx="33">
                  <c:v>146.55071900505246</c:v>
                </c:pt>
                <c:pt idx="34">
                  <c:v>145.7653193418837</c:v>
                </c:pt>
                <c:pt idx="35">
                  <c:v>144.21395258453165</c:v>
                </c:pt>
                <c:pt idx="36">
                  <c:v>141.90471563674046</c:v>
                </c:pt>
                <c:pt idx="37">
                  <c:v>141.21485943775099</c:v>
                </c:pt>
              </c:numCache>
            </c:numRef>
          </c:val>
          <c:smooth val="0"/>
          <c:extLst>
            <c:ext xmlns:c16="http://schemas.microsoft.com/office/drawing/2014/chart" uri="{C3380CC4-5D6E-409C-BE32-E72D297353CC}">
              <c16:uniqueId val="{00000000-880F-4B28-A3E6-3BB12C934C00}"/>
            </c:ext>
          </c:extLst>
        </c:ser>
        <c:ser>
          <c:idx val="1"/>
          <c:order val="1"/>
          <c:tx>
            <c:strRef>
              <c:f>Charts!$AG$4</c:f>
              <c:strCache>
                <c:ptCount val="1"/>
                <c:pt idx="0">
                  <c:v>VNMidcap</c:v>
                </c:pt>
              </c:strCache>
            </c:strRef>
          </c:tx>
          <c:spPr>
            <a:ln w="19050"/>
          </c:spPr>
          <c:marker>
            <c:symbol val="none"/>
          </c:marker>
          <c:cat>
            <c:numRef>
              <c:f>Charts!$AE$5:$AE$42</c:f>
              <c:numCache>
                <c:formatCode>dd/mm/yyyy</c:formatCode>
                <c:ptCount val="38"/>
                <c:pt idx="0">
                  <c:v>42521</c:v>
                </c:pt>
                <c:pt idx="1">
                  <c:v>42551</c:v>
                </c:pt>
                <c:pt idx="2">
                  <c:v>42580</c:v>
                </c:pt>
                <c:pt idx="3">
                  <c:v>42613</c:v>
                </c:pt>
                <c:pt idx="4">
                  <c:v>42643</c:v>
                </c:pt>
                <c:pt idx="5">
                  <c:v>42674</c:v>
                </c:pt>
                <c:pt idx="6">
                  <c:v>42704</c:v>
                </c:pt>
                <c:pt idx="7">
                  <c:v>42734</c:v>
                </c:pt>
                <c:pt idx="8">
                  <c:v>42760</c:v>
                </c:pt>
                <c:pt idx="9">
                  <c:v>42794</c:v>
                </c:pt>
                <c:pt idx="10">
                  <c:v>42825</c:v>
                </c:pt>
                <c:pt idx="11">
                  <c:v>42853</c:v>
                </c:pt>
                <c:pt idx="12">
                  <c:v>42886</c:v>
                </c:pt>
                <c:pt idx="13">
                  <c:v>42916</c:v>
                </c:pt>
                <c:pt idx="14">
                  <c:v>42947</c:v>
                </c:pt>
                <c:pt idx="15">
                  <c:v>42978</c:v>
                </c:pt>
                <c:pt idx="16">
                  <c:v>43007</c:v>
                </c:pt>
                <c:pt idx="17">
                  <c:v>43039</c:v>
                </c:pt>
                <c:pt idx="18">
                  <c:v>43069</c:v>
                </c:pt>
                <c:pt idx="19">
                  <c:v>43098</c:v>
                </c:pt>
                <c:pt idx="20">
                  <c:v>43131</c:v>
                </c:pt>
                <c:pt idx="21">
                  <c:v>43159</c:v>
                </c:pt>
                <c:pt idx="22">
                  <c:v>43189</c:v>
                </c:pt>
                <c:pt idx="23">
                  <c:v>43217</c:v>
                </c:pt>
                <c:pt idx="24">
                  <c:v>43251</c:v>
                </c:pt>
                <c:pt idx="25">
                  <c:v>43280</c:v>
                </c:pt>
                <c:pt idx="26">
                  <c:v>43312</c:v>
                </c:pt>
                <c:pt idx="27">
                  <c:v>43343</c:v>
                </c:pt>
                <c:pt idx="28">
                  <c:v>43371</c:v>
                </c:pt>
                <c:pt idx="29">
                  <c:v>43404</c:v>
                </c:pt>
                <c:pt idx="30">
                  <c:v>43434</c:v>
                </c:pt>
                <c:pt idx="31">
                  <c:v>43462</c:v>
                </c:pt>
                <c:pt idx="32">
                  <c:v>43496</c:v>
                </c:pt>
                <c:pt idx="33">
                  <c:v>43524</c:v>
                </c:pt>
                <c:pt idx="34">
                  <c:v>43553</c:v>
                </c:pt>
                <c:pt idx="35">
                  <c:v>43581</c:v>
                </c:pt>
                <c:pt idx="36">
                  <c:v>43616</c:v>
                </c:pt>
                <c:pt idx="37">
                  <c:v>43494</c:v>
                </c:pt>
              </c:numCache>
            </c:numRef>
          </c:cat>
          <c:val>
            <c:numRef>
              <c:f>Charts!$AG$5:$AG$42</c:f>
              <c:numCache>
                <c:formatCode>0.00</c:formatCode>
                <c:ptCount val="38"/>
                <c:pt idx="0">
                  <c:v>100</c:v>
                </c:pt>
                <c:pt idx="1">
                  <c:v>109.29027517356708</c:v>
                </c:pt>
                <c:pt idx="2">
                  <c:v>110.06309228196419</c:v>
                </c:pt>
                <c:pt idx="3">
                  <c:v>109.74383013226566</c:v>
                </c:pt>
                <c:pt idx="4">
                  <c:v>112.50696802310839</c:v>
                </c:pt>
                <c:pt idx="5">
                  <c:v>108.41230426189622</c:v>
                </c:pt>
                <c:pt idx="6">
                  <c:v>103.6905184209192</c:v>
                </c:pt>
                <c:pt idx="7">
                  <c:v>101.46201793949217</c:v>
                </c:pt>
                <c:pt idx="8">
                  <c:v>104.19981756448588</c:v>
                </c:pt>
                <c:pt idx="9">
                  <c:v>110.80803729792731</c:v>
                </c:pt>
                <c:pt idx="10">
                  <c:v>115.94156995895203</c:v>
                </c:pt>
                <c:pt idx="11">
                  <c:v>119.45978817209755</c:v>
                </c:pt>
                <c:pt idx="12">
                  <c:v>127.03466274768158</c:v>
                </c:pt>
                <c:pt idx="13">
                  <c:v>135.20498657071914</c:v>
                </c:pt>
                <c:pt idx="14">
                  <c:v>134.74256321897332</c:v>
                </c:pt>
                <c:pt idx="15">
                  <c:v>130.692241422997</c:v>
                </c:pt>
                <c:pt idx="16">
                  <c:v>131.99462828764001</c:v>
                </c:pt>
                <c:pt idx="17">
                  <c:v>123.21871991080934</c:v>
                </c:pt>
                <c:pt idx="18">
                  <c:v>133.80124664267979</c:v>
                </c:pt>
                <c:pt idx="19">
                  <c:v>135.05675771550187</c:v>
                </c:pt>
                <c:pt idx="20">
                  <c:v>144.18486798763482</c:v>
                </c:pt>
                <c:pt idx="21">
                  <c:v>137.77428672781619</c:v>
                </c:pt>
                <c:pt idx="22">
                  <c:v>145.64688592712699</c:v>
                </c:pt>
                <c:pt idx="23">
                  <c:v>135.4824405817665</c:v>
                </c:pt>
                <c:pt idx="24">
                  <c:v>125.67906552475539</c:v>
                </c:pt>
                <c:pt idx="25">
                  <c:v>120.42644301423999</c:v>
                </c:pt>
                <c:pt idx="26">
                  <c:v>126.42654436730334</c:v>
                </c:pt>
                <c:pt idx="27">
                  <c:v>130.16267166675098</c:v>
                </c:pt>
                <c:pt idx="28">
                  <c:v>135.99807429179529</c:v>
                </c:pt>
                <c:pt idx="29">
                  <c:v>120.10718086454146</c:v>
                </c:pt>
                <c:pt idx="30">
                  <c:v>119.93234683018278</c:v>
                </c:pt>
                <c:pt idx="31">
                  <c:v>117.79633101910491</c:v>
                </c:pt>
                <c:pt idx="32">
                  <c:v>118.79845943343632</c:v>
                </c:pt>
                <c:pt idx="33">
                  <c:v>127.43500734809707</c:v>
                </c:pt>
                <c:pt idx="34">
                  <c:v>125.85263264582166</c:v>
                </c:pt>
                <c:pt idx="35">
                  <c:v>124.0384128110272</c:v>
                </c:pt>
                <c:pt idx="36">
                  <c:v>122.54092129934631</c:v>
                </c:pt>
                <c:pt idx="37">
                  <c:v>118.62235848578517</c:v>
                </c:pt>
              </c:numCache>
            </c:numRef>
          </c:val>
          <c:smooth val="0"/>
          <c:extLst>
            <c:ext xmlns:c16="http://schemas.microsoft.com/office/drawing/2014/chart" uri="{C3380CC4-5D6E-409C-BE32-E72D297353CC}">
              <c16:uniqueId val="{00000001-880F-4B28-A3E6-3BB12C934C00}"/>
            </c:ext>
          </c:extLst>
        </c:ser>
        <c:ser>
          <c:idx val="2"/>
          <c:order val="2"/>
          <c:tx>
            <c:strRef>
              <c:f>Charts!$AH$4</c:f>
              <c:strCache>
                <c:ptCount val="1"/>
                <c:pt idx="0">
                  <c:v>VN100</c:v>
                </c:pt>
              </c:strCache>
            </c:strRef>
          </c:tx>
          <c:spPr>
            <a:ln w="19050"/>
          </c:spPr>
          <c:marker>
            <c:symbol val="none"/>
          </c:marker>
          <c:cat>
            <c:numRef>
              <c:f>Charts!$AE$5:$AE$42</c:f>
              <c:numCache>
                <c:formatCode>dd/mm/yyyy</c:formatCode>
                <c:ptCount val="38"/>
                <c:pt idx="0">
                  <c:v>42521</c:v>
                </c:pt>
                <c:pt idx="1">
                  <c:v>42551</c:v>
                </c:pt>
                <c:pt idx="2">
                  <c:v>42580</c:v>
                </c:pt>
                <c:pt idx="3">
                  <c:v>42613</c:v>
                </c:pt>
                <c:pt idx="4">
                  <c:v>42643</c:v>
                </c:pt>
                <c:pt idx="5">
                  <c:v>42674</c:v>
                </c:pt>
                <c:pt idx="6">
                  <c:v>42704</c:v>
                </c:pt>
                <c:pt idx="7">
                  <c:v>42734</c:v>
                </c:pt>
                <c:pt idx="8">
                  <c:v>42760</c:v>
                </c:pt>
                <c:pt idx="9">
                  <c:v>42794</c:v>
                </c:pt>
                <c:pt idx="10">
                  <c:v>42825</c:v>
                </c:pt>
                <c:pt idx="11">
                  <c:v>42853</c:v>
                </c:pt>
                <c:pt idx="12">
                  <c:v>42886</c:v>
                </c:pt>
                <c:pt idx="13">
                  <c:v>42916</c:v>
                </c:pt>
                <c:pt idx="14">
                  <c:v>42947</c:v>
                </c:pt>
                <c:pt idx="15">
                  <c:v>42978</c:v>
                </c:pt>
                <c:pt idx="16">
                  <c:v>43007</c:v>
                </c:pt>
                <c:pt idx="17">
                  <c:v>43039</c:v>
                </c:pt>
                <c:pt idx="18">
                  <c:v>43069</c:v>
                </c:pt>
                <c:pt idx="19">
                  <c:v>43098</c:v>
                </c:pt>
                <c:pt idx="20">
                  <c:v>43131</c:v>
                </c:pt>
                <c:pt idx="21">
                  <c:v>43159</c:v>
                </c:pt>
                <c:pt idx="22">
                  <c:v>43189</c:v>
                </c:pt>
                <c:pt idx="23">
                  <c:v>43217</c:v>
                </c:pt>
                <c:pt idx="24">
                  <c:v>43251</c:v>
                </c:pt>
                <c:pt idx="25">
                  <c:v>43280</c:v>
                </c:pt>
                <c:pt idx="26">
                  <c:v>43312</c:v>
                </c:pt>
                <c:pt idx="27">
                  <c:v>43343</c:v>
                </c:pt>
                <c:pt idx="28">
                  <c:v>43371</c:v>
                </c:pt>
                <c:pt idx="29">
                  <c:v>43404</c:v>
                </c:pt>
                <c:pt idx="30">
                  <c:v>43434</c:v>
                </c:pt>
                <c:pt idx="31">
                  <c:v>43462</c:v>
                </c:pt>
                <c:pt idx="32">
                  <c:v>43496</c:v>
                </c:pt>
                <c:pt idx="33">
                  <c:v>43524</c:v>
                </c:pt>
                <c:pt idx="34">
                  <c:v>43553</c:v>
                </c:pt>
                <c:pt idx="35">
                  <c:v>43581</c:v>
                </c:pt>
                <c:pt idx="36">
                  <c:v>43616</c:v>
                </c:pt>
                <c:pt idx="37">
                  <c:v>43494</c:v>
                </c:pt>
              </c:numCache>
            </c:numRef>
          </c:cat>
          <c:val>
            <c:numRef>
              <c:f>Charts!$AH$5:$AH$42</c:f>
              <c:numCache>
                <c:formatCode>0.00</c:formatCode>
                <c:ptCount val="38"/>
                <c:pt idx="0">
                  <c:v>100</c:v>
                </c:pt>
                <c:pt idx="1">
                  <c:v>102.9166597341231</c:v>
                </c:pt>
                <c:pt idx="2">
                  <c:v>105.58873933081539</c:v>
                </c:pt>
                <c:pt idx="3">
                  <c:v>108.69340964677298</c:v>
                </c:pt>
                <c:pt idx="4">
                  <c:v>110.01780277190812</c:v>
                </c:pt>
                <c:pt idx="5">
                  <c:v>106.12615010897949</c:v>
                </c:pt>
                <c:pt idx="6">
                  <c:v>103.40415619852575</c:v>
                </c:pt>
                <c:pt idx="7">
                  <c:v>102.09806498843642</c:v>
                </c:pt>
                <c:pt idx="8">
                  <c:v>104.728549323661</c:v>
                </c:pt>
                <c:pt idx="9">
                  <c:v>108.02455784237054</c:v>
                </c:pt>
                <c:pt idx="10">
                  <c:v>113.3620617939204</c:v>
                </c:pt>
                <c:pt idx="11">
                  <c:v>112.72815000915091</c:v>
                </c:pt>
                <c:pt idx="12">
                  <c:v>118.25532835299401</c:v>
                </c:pt>
                <c:pt idx="13">
                  <c:v>126.51947490141924</c:v>
                </c:pt>
                <c:pt idx="14">
                  <c:v>125.34981614894431</c:v>
                </c:pt>
                <c:pt idx="15">
                  <c:v>126.1451175482089</c:v>
                </c:pt>
                <c:pt idx="16">
                  <c:v>129.23647738049675</c:v>
                </c:pt>
                <c:pt idx="17">
                  <c:v>132.35279436966536</c:v>
                </c:pt>
                <c:pt idx="18">
                  <c:v>149.68470791807394</c:v>
                </c:pt>
                <c:pt idx="19">
                  <c:v>154.50310300650548</c:v>
                </c:pt>
                <c:pt idx="20">
                  <c:v>171.21940668519039</c:v>
                </c:pt>
                <c:pt idx="21">
                  <c:v>171.50225446317145</c:v>
                </c:pt>
                <c:pt idx="22">
                  <c:v>179.73478861288112</c:v>
                </c:pt>
                <c:pt idx="23">
                  <c:v>162.44946175731658</c:v>
                </c:pt>
                <c:pt idx="24">
                  <c:v>149.75791557825727</c:v>
                </c:pt>
                <c:pt idx="25">
                  <c:v>149.14230570853366</c:v>
                </c:pt>
                <c:pt idx="26">
                  <c:v>150.07071194449523</c:v>
                </c:pt>
                <c:pt idx="27">
                  <c:v>153.61462822155298</c:v>
                </c:pt>
                <c:pt idx="28">
                  <c:v>158.02871736851736</c:v>
                </c:pt>
                <c:pt idx="29">
                  <c:v>142.61018584762829</c:v>
                </c:pt>
                <c:pt idx="30">
                  <c:v>142.22085420028955</c:v>
                </c:pt>
                <c:pt idx="31">
                  <c:v>136.45075952947442</c:v>
                </c:pt>
                <c:pt idx="32">
                  <c:v>138.72518842653449</c:v>
                </c:pt>
                <c:pt idx="33">
                  <c:v>146.54842520340083</c:v>
                </c:pt>
                <c:pt idx="34">
                  <c:v>146.05427349716325</c:v>
                </c:pt>
                <c:pt idx="35">
                  <c:v>144.50027452872578</c:v>
                </c:pt>
                <c:pt idx="36">
                  <c:v>141.8182120692812</c:v>
                </c:pt>
                <c:pt idx="37">
                  <c:v>139.45892883882675</c:v>
                </c:pt>
              </c:numCache>
            </c:numRef>
          </c:val>
          <c:smooth val="0"/>
          <c:extLst>
            <c:ext xmlns:c16="http://schemas.microsoft.com/office/drawing/2014/chart" uri="{C3380CC4-5D6E-409C-BE32-E72D297353CC}">
              <c16:uniqueId val="{00000002-880F-4B28-A3E6-3BB12C934C00}"/>
            </c:ext>
          </c:extLst>
        </c:ser>
        <c:ser>
          <c:idx val="3"/>
          <c:order val="3"/>
          <c:tx>
            <c:strRef>
              <c:f>Charts!$AI$4</c:f>
              <c:strCache>
                <c:ptCount val="1"/>
                <c:pt idx="0">
                  <c:v>VNSmallcap</c:v>
                </c:pt>
              </c:strCache>
            </c:strRef>
          </c:tx>
          <c:spPr>
            <a:ln w="19050"/>
          </c:spPr>
          <c:marker>
            <c:symbol val="none"/>
          </c:marker>
          <c:cat>
            <c:numRef>
              <c:f>Charts!$AE$5:$AE$42</c:f>
              <c:numCache>
                <c:formatCode>dd/mm/yyyy</c:formatCode>
                <c:ptCount val="38"/>
                <c:pt idx="0">
                  <c:v>42521</c:v>
                </c:pt>
                <c:pt idx="1">
                  <c:v>42551</c:v>
                </c:pt>
                <c:pt idx="2">
                  <c:v>42580</c:v>
                </c:pt>
                <c:pt idx="3">
                  <c:v>42613</c:v>
                </c:pt>
                <c:pt idx="4">
                  <c:v>42643</c:v>
                </c:pt>
                <c:pt idx="5">
                  <c:v>42674</c:v>
                </c:pt>
                <c:pt idx="6">
                  <c:v>42704</c:v>
                </c:pt>
                <c:pt idx="7">
                  <c:v>42734</c:v>
                </c:pt>
                <c:pt idx="8">
                  <c:v>42760</c:v>
                </c:pt>
                <c:pt idx="9">
                  <c:v>42794</c:v>
                </c:pt>
                <c:pt idx="10">
                  <c:v>42825</c:v>
                </c:pt>
                <c:pt idx="11">
                  <c:v>42853</c:v>
                </c:pt>
                <c:pt idx="12">
                  <c:v>42886</c:v>
                </c:pt>
                <c:pt idx="13">
                  <c:v>42916</c:v>
                </c:pt>
                <c:pt idx="14">
                  <c:v>42947</c:v>
                </c:pt>
                <c:pt idx="15">
                  <c:v>42978</c:v>
                </c:pt>
                <c:pt idx="16">
                  <c:v>43007</c:v>
                </c:pt>
                <c:pt idx="17">
                  <c:v>43039</c:v>
                </c:pt>
                <c:pt idx="18">
                  <c:v>43069</c:v>
                </c:pt>
                <c:pt idx="19">
                  <c:v>43098</c:v>
                </c:pt>
                <c:pt idx="20">
                  <c:v>43131</c:v>
                </c:pt>
                <c:pt idx="21">
                  <c:v>43159</c:v>
                </c:pt>
                <c:pt idx="22">
                  <c:v>43189</c:v>
                </c:pt>
                <c:pt idx="23">
                  <c:v>43217</c:v>
                </c:pt>
                <c:pt idx="24">
                  <c:v>43251</c:v>
                </c:pt>
                <c:pt idx="25">
                  <c:v>43280</c:v>
                </c:pt>
                <c:pt idx="26">
                  <c:v>43312</c:v>
                </c:pt>
                <c:pt idx="27">
                  <c:v>43343</c:v>
                </c:pt>
                <c:pt idx="28">
                  <c:v>43371</c:v>
                </c:pt>
                <c:pt idx="29">
                  <c:v>43404</c:v>
                </c:pt>
                <c:pt idx="30">
                  <c:v>43434</c:v>
                </c:pt>
                <c:pt idx="31">
                  <c:v>43462</c:v>
                </c:pt>
                <c:pt idx="32">
                  <c:v>43496</c:v>
                </c:pt>
                <c:pt idx="33">
                  <c:v>43524</c:v>
                </c:pt>
                <c:pt idx="34">
                  <c:v>43553</c:v>
                </c:pt>
                <c:pt idx="35">
                  <c:v>43581</c:v>
                </c:pt>
                <c:pt idx="36">
                  <c:v>43616</c:v>
                </c:pt>
                <c:pt idx="37">
                  <c:v>43494</c:v>
                </c:pt>
              </c:numCache>
            </c:numRef>
          </c:cat>
          <c:val>
            <c:numRef>
              <c:f>Charts!$AI$5:$AI$42</c:f>
              <c:numCache>
                <c:formatCode>0.00</c:formatCode>
                <c:ptCount val="38"/>
                <c:pt idx="0">
                  <c:v>100</c:v>
                </c:pt>
                <c:pt idx="1">
                  <c:v>109.4714321340911</c:v>
                </c:pt>
                <c:pt idx="2">
                  <c:v>108.7889009936078</c:v>
                </c:pt>
                <c:pt idx="3">
                  <c:v>104.43776497302686</c:v>
                </c:pt>
                <c:pt idx="4">
                  <c:v>105.64532006772804</c:v>
                </c:pt>
                <c:pt idx="5">
                  <c:v>104.42857705382799</c:v>
                </c:pt>
                <c:pt idx="6">
                  <c:v>103.05695197343368</c:v>
                </c:pt>
                <c:pt idx="7">
                  <c:v>98.388176460550923</c:v>
                </c:pt>
                <c:pt idx="8">
                  <c:v>98.464304933912473</c:v>
                </c:pt>
                <c:pt idx="9">
                  <c:v>105.45106120466733</c:v>
                </c:pt>
                <c:pt idx="10">
                  <c:v>107.23483008912268</c:v>
                </c:pt>
                <c:pt idx="11">
                  <c:v>107.51046766508706</c:v>
                </c:pt>
                <c:pt idx="12">
                  <c:v>112.96809166918221</c:v>
                </c:pt>
                <c:pt idx="13">
                  <c:v>117.70643285599894</c:v>
                </c:pt>
                <c:pt idx="14">
                  <c:v>121.71761586622382</c:v>
                </c:pt>
                <c:pt idx="15">
                  <c:v>118.55434654206094</c:v>
                </c:pt>
                <c:pt idx="16">
                  <c:v>119.93122186199739</c:v>
                </c:pt>
                <c:pt idx="17">
                  <c:v>115.92660165120029</c:v>
                </c:pt>
                <c:pt idx="18">
                  <c:v>119.75796395710555</c:v>
                </c:pt>
                <c:pt idx="19">
                  <c:v>120.56781340648671</c:v>
                </c:pt>
                <c:pt idx="20">
                  <c:v>123.112867024558</c:v>
                </c:pt>
                <c:pt idx="21">
                  <c:v>118.17895441479516</c:v>
                </c:pt>
                <c:pt idx="22">
                  <c:v>118.20389305262049</c:v>
                </c:pt>
                <c:pt idx="23">
                  <c:v>113.95513670311205</c:v>
                </c:pt>
                <c:pt idx="24">
                  <c:v>109.08685208762648</c:v>
                </c:pt>
                <c:pt idx="25">
                  <c:v>108.04599209838948</c:v>
                </c:pt>
                <c:pt idx="26">
                  <c:v>106.31997584889808</c:v>
                </c:pt>
                <c:pt idx="27">
                  <c:v>106.96313019281497</c:v>
                </c:pt>
                <c:pt idx="28">
                  <c:v>113.40386155118321</c:v>
                </c:pt>
                <c:pt idx="29">
                  <c:v>105.22136322469707</c:v>
                </c:pt>
                <c:pt idx="30">
                  <c:v>105.48387520180603</c:v>
                </c:pt>
                <c:pt idx="31">
                  <c:v>101.51206898814755</c:v>
                </c:pt>
                <c:pt idx="32">
                  <c:v>101.20755509470118</c:v>
                </c:pt>
                <c:pt idx="33">
                  <c:v>103.854988383845</c:v>
                </c:pt>
                <c:pt idx="34">
                  <c:v>109.4648693346634</c:v>
                </c:pt>
                <c:pt idx="35">
                  <c:v>108.4240093454264</c:v>
                </c:pt>
                <c:pt idx="36">
                  <c:v>106.89093939911017</c:v>
                </c:pt>
                <c:pt idx="37">
                  <c:v>100.78884849121239</c:v>
                </c:pt>
              </c:numCache>
            </c:numRef>
          </c:val>
          <c:smooth val="0"/>
          <c:extLst>
            <c:ext xmlns:c16="http://schemas.microsoft.com/office/drawing/2014/chart" uri="{C3380CC4-5D6E-409C-BE32-E72D297353CC}">
              <c16:uniqueId val="{00000003-880F-4B28-A3E6-3BB12C934C00}"/>
            </c:ext>
          </c:extLst>
        </c:ser>
        <c:ser>
          <c:idx val="4"/>
          <c:order val="4"/>
          <c:tx>
            <c:strRef>
              <c:f>Charts!$AJ$4</c:f>
              <c:strCache>
                <c:ptCount val="1"/>
                <c:pt idx="0">
                  <c:v>VNAllshare</c:v>
                </c:pt>
              </c:strCache>
            </c:strRef>
          </c:tx>
          <c:spPr>
            <a:ln w="19050"/>
          </c:spPr>
          <c:marker>
            <c:symbol val="none"/>
          </c:marker>
          <c:cat>
            <c:numRef>
              <c:f>Charts!$AE$5:$AE$42</c:f>
              <c:numCache>
                <c:formatCode>dd/mm/yyyy</c:formatCode>
                <c:ptCount val="38"/>
                <c:pt idx="0">
                  <c:v>42521</c:v>
                </c:pt>
                <c:pt idx="1">
                  <c:v>42551</c:v>
                </c:pt>
                <c:pt idx="2">
                  <c:v>42580</c:v>
                </c:pt>
                <c:pt idx="3">
                  <c:v>42613</c:v>
                </c:pt>
                <c:pt idx="4">
                  <c:v>42643</c:v>
                </c:pt>
                <c:pt idx="5">
                  <c:v>42674</c:v>
                </c:pt>
                <c:pt idx="6">
                  <c:v>42704</c:v>
                </c:pt>
                <c:pt idx="7">
                  <c:v>42734</c:v>
                </c:pt>
                <c:pt idx="8">
                  <c:v>42760</c:v>
                </c:pt>
                <c:pt idx="9">
                  <c:v>42794</c:v>
                </c:pt>
                <c:pt idx="10">
                  <c:v>42825</c:v>
                </c:pt>
                <c:pt idx="11">
                  <c:v>42853</c:v>
                </c:pt>
                <c:pt idx="12">
                  <c:v>42886</c:v>
                </c:pt>
                <c:pt idx="13">
                  <c:v>42916</c:v>
                </c:pt>
                <c:pt idx="14">
                  <c:v>42947</c:v>
                </c:pt>
                <c:pt idx="15">
                  <c:v>42978</c:v>
                </c:pt>
                <c:pt idx="16">
                  <c:v>43007</c:v>
                </c:pt>
                <c:pt idx="17">
                  <c:v>43039</c:v>
                </c:pt>
                <c:pt idx="18">
                  <c:v>43069</c:v>
                </c:pt>
                <c:pt idx="19">
                  <c:v>43098</c:v>
                </c:pt>
                <c:pt idx="20">
                  <c:v>43131</c:v>
                </c:pt>
                <c:pt idx="21">
                  <c:v>43159</c:v>
                </c:pt>
                <c:pt idx="22">
                  <c:v>43189</c:v>
                </c:pt>
                <c:pt idx="23">
                  <c:v>43217</c:v>
                </c:pt>
                <c:pt idx="24">
                  <c:v>43251</c:v>
                </c:pt>
                <c:pt idx="25">
                  <c:v>43280</c:v>
                </c:pt>
                <c:pt idx="26">
                  <c:v>43312</c:v>
                </c:pt>
                <c:pt idx="27">
                  <c:v>43343</c:v>
                </c:pt>
                <c:pt idx="28">
                  <c:v>43371</c:v>
                </c:pt>
                <c:pt idx="29">
                  <c:v>43404</c:v>
                </c:pt>
                <c:pt idx="30">
                  <c:v>43434</c:v>
                </c:pt>
                <c:pt idx="31">
                  <c:v>43462</c:v>
                </c:pt>
                <c:pt idx="32">
                  <c:v>43496</c:v>
                </c:pt>
                <c:pt idx="33">
                  <c:v>43524</c:v>
                </c:pt>
                <c:pt idx="34">
                  <c:v>43553</c:v>
                </c:pt>
                <c:pt idx="35">
                  <c:v>43581</c:v>
                </c:pt>
                <c:pt idx="36">
                  <c:v>43616</c:v>
                </c:pt>
                <c:pt idx="37">
                  <c:v>43494</c:v>
                </c:pt>
              </c:numCache>
            </c:numRef>
          </c:cat>
          <c:val>
            <c:numRef>
              <c:f>Charts!$AJ$5:$AJ$42</c:f>
              <c:numCache>
                <c:formatCode>0.00</c:formatCode>
                <c:ptCount val="38"/>
                <c:pt idx="0">
                  <c:v>100</c:v>
                </c:pt>
                <c:pt idx="1">
                  <c:v>103.53522140100728</c:v>
                </c:pt>
                <c:pt idx="2">
                  <c:v>105.91274772712407</c:v>
                </c:pt>
                <c:pt idx="3">
                  <c:v>108.48322323238936</c:v>
                </c:pt>
                <c:pt idx="4">
                  <c:v>109.79462358558447</c:v>
                </c:pt>
                <c:pt idx="5">
                  <c:v>106.16129243246787</c:v>
                </c:pt>
                <c:pt idx="6">
                  <c:v>103.55974883903474</c:v>
                </c:pt>
                <c:pt idx="7">
                  <c:v>101.90169402838654</c:v>
                </c:pt>
                <c:pt idx="8">
                  <c:v>104.29720714239009</c:v>
                </c:pt>
                <c:pt idx="9">
                  <c:v>107.92563280790124</c:v>
                </c:pt>
                <c:pt idx="10">
                  <c:v>112.8948917522403</c:v>
                </c:pt>
                <c:pt idx="11">
                  <c:v>112.34057165282245</c:v>
                </c:pt>
                <c:pt idx="12">
                  <c:v>117.80037935770829</c:v>
                </c:pt>
                <c:pt idx="13">
                  <c:v>125.76198574138289</c:v>
                </c:pt>
                <c:pt idx="14">
                  <c:v>125.01144613774626</c:v>
                </c:pt>
                <c:pt idx="15">
                  <c:v>125.49054876054696</c:v>
                </c:pt>
                <c:pt idx="16">
                  <c:v>128.43874681143325</c:v>
                </c:pt>
                <c:pt idx="17">
                  <c:v>131.03047942965557</c:v>
                </c:pt>
                <c:pt idx="18">
                  <c:v>147.47203872064915</c:v>
                </c:pt>
                <c:pt idx="19">
                  <c:v>152.09791353260547</c:v>
                </c:pt>
                <c:pt idx="20">
                  <c:v>167.63686310419297</c:v>
                </c:pt>
                <c:pt idx="21">
                  <c:v>167.50277977631021</c:v>
                </c:pt>
                <c:pt idx="22">
                  <c:v>175.11773170253161</c:v>
                </c:pt>
                <c:pt idx="23">
                  <c:v>158.82333703970204</c:v>
                </c:pt>
                <c:pt idx="24">
                  <c:v>146.66917391588754</c:v>
                </c:pt>
                <c:pt idx="25">
                  <c:v>146.05598796520411</c:v>
                </c:pt>
                <c:pt idx="26">
                  <c:v>146.78200013081349</c:v>
                </c:pt>
                <c:pt idx="27">
                  <c:v>149.9689319118325</c:v>
                </c:pt>
                <c:pt idx="28">
                  <c:v>154.4754398587225</c:v>
                </c:pt>
                <c:pt idx="29">
                  <c:v>139.73444960429114</c:v>
                </c:pt>
                <c:pt idx="30">
                  <c:v>139.49081038655282</c:v>
                </c:pt>
                <c:pt idx="31">
                  <c:v>133.82006671463185</c:v>
                </c:pt>
                <c:pt idx="32">
                  <c:v>136.0618745503308</c:v>
                </c:pt>
                <c:pt idx="33">
                  <c:v>143.62123095035696</c:v>
                </c:pt>
                <c:pt idx="34">
                  <c:v>143.485512459939</c:v>
                </c:pt>
                <c:pt idx="35">
                  <c:v>141.90103996337274</c:v>
                </c:pt>
                <c:pt idx="36">
                  <c:v>139.3501864085294</c:v>
                </c:pt>
                <c:pt idx="37">
                  <c:v>136.72411537706896</c:v>
                </c:pt>
              </c:numCache>
            </c:numRef>
          </c:val>
          <c:smooth val="0"/>
          <c:extLst>
            <c:ext xmlns:c16="http://schemas.microsoft.com/office/drawing/2014/chart" uri="{C3380CC4-5D6E-409C-BE32-E72D297353CC}">
              <c16:uniqueId val="{00000004-880F-4B28-A3E6-3BB12C934C00}"/>
            </c:ext>
          </c:extLst>
        </c:ser>
        <c:ser>
          <c:idx val="5"/>
          <c:order val="5"/>
          <c:tx>
            <c:strRef>
              <c:f>Charts!$AK$4</c:f>
              <c:strCache>
                <c:ptCount val="1"/>
                <c:pt idx="0">
                  <c:v>VN Index</c:v>
                </c:pt>
              </c:strCache>
            </c:strRef>
          </c:tx>
          <c:spPr>
            <a:ln w="19050"/>
          </c:spPr>
          <c:marker>
            <c:symbol val="none"/>
          </c:marker>
          <c:cat>
            <c:numRef>
              <c:f>Charts!$AE$5:$AE$42</c:f>
              <c:numCache>
                <c:formatCode>dd/mm/yyyy</c:formatCode>
                <c:ptCount val="38"/>
                <c:pt idx="0">
                  <c:v>42521</c:v>
                </c:pt>
                <c:pt idx="1">
                  <c:v>42551</c:v>
                </c:pt>
                <c:pt idx="2">
                  <c:v>42580</c:v>
                </c:pt>
                <c:pt idx="3">
                  <c:v>42613</c:v>
                </c:pt>
                <c:pt idx="4">
                  <c:v>42643</c:v>
                </c:pt>
                <c:pt idx="5">
                  <c:v>42674</c:v>
                </c:pt>
                <c:pt idx="6">
                  <c:v>42704</c:v>
                </c:pt>
                <c:pt idx="7">
                  <c:v>42734</c:v>
                </c:pt>
                <c:pt idx="8">
                  <c:v>42760</c:v>
                </c:pt>
                <c:pt idx="9">
                  <c:v>42794</c:v>
                </c:pt>
                <c:pt idx="10">
                  <c:v>42825</c:v>
                </c:pt>
                <c:pt idx="11">
                  <c:v>42853</c:v>
                </c:pt>
                <c:pt idx="12">
                  <c:v>42886</c:v>
                </c:pt>
                <c:pt idx="13">
                  <c:v>42916</c:v>
                </c:pt>
                <c:pt idx="14">
                  <c:v>42947</c:v>
                </c:pt>
                <c:pt idx="15">
                  <c:v>42978</c:v>
                </c:pt>
                <c:pt idx="16">
                  <c:v>43007</c:v>
                </c:pt>
                <c:pt idx="17">
                  <c:v>43039</c:v>
                </c:pt>
                <c:pt idx="18">
                  <c:v>43069</c:v>
                </c:pt>
                <c:pt idx="19">
                  <c:v>43098</c:v>
                </c:pt>
                <c:pt idx="20">
                  <c:v>43131</c:v>
                </c:pt>
                <c:pt idx="21">
                  <c:v>43159</c:v>
                </c:pt>
                <c:pt idx="22">
                  <c:v>43189</c:v>
                </c:pt>
                <c:pt idx="23">
                  <c:v>43217</c:v>
                </c:pt>
                <c:pt idx="24">
                  <c:v>43251</c:v>
                </c:pt>
                <c:pt idx="25">
                  <c:v>43280</c:v>
                </c:pt>
                <c:pt idx="26">
                  <c:v>43312</c:v>
                </c:pt>
                <c:pt idx="27">
                  <c:v>43343</c:v>
                </c:pt>
                <c:pt idx="28">
                  <c:v>43371</c:v>
                </c:pt>
                <c:pt idx="29">
                  <c:v>43404</c:v>
                </c:pt>
                <c:pt idx="30">
                  <c:v>43434</c:v>
                </c:pt>
                <c:pt idx="31">
                  <c:v>43462</c:v>
                </c:pt>
                <c:pt idx="32">
                  <c:v>43496</c:v>
                </c:pt>
                <c:pt idx="33">
                  <c:v>43524</c:v>
                </c:pt>
                <c:pt idx="34">
                  <c:v>43553</c:v>
                </c:pt>
                <c:pt idx="35">
                  <c:v>43581</c:v>
                </c:pt>
                <c:pt idx="36">
                  <c:v>43616</c:v>
                </c:pt>
                <c:pt idx="37">
                  <c:v>43494</c:v>
                </c:pt>
              </c:numCache>
            </c:numRef>
          </c:cat>
          <c:val>
            <c:numRef>
              <c:f>Charts!$AK$5:$AK$42</c:f>
              <c:numCache>
                <c:formatCode>0.00</c:formatCode>
                <c:ptCount val="38"/>
                <c:pt idx="0">
                  <c:v>100</c:v>
                </c:pt>
                <c:pt idx="1">
                  <c:v>102.23465493823167</c:v>
                </c:pt>
                <c:pt idx="2">
                  <c:v>105.46374749369383</c:v>
                </c:pt>
                <c:pt idx="3">
                  <c:v>109.08576418084216</c:v>
                </c:pt>
                <c:pt idx="4">
                  <c:v>110.88060280706296</c:v>
                </c:pt>
                <c:pt idx="5">
                  <c:v>109.27494987387622</c:v>
                </c:pt>
                <c:pt idx="6">
                  <c:v>107.53993920186282</c:v>
                </c:pt>
                <c:pt idx="7">
                  <c:v>107.50759976715612</c:v>
                </c:pt>
                <c:pt idx="8">
                  <c:v>112.74820516137386</c:v>
                </c:pt>
                <c:pt idx="9">
                  <c:v>114.93273397581015</c:v>
                </c:pt>
                <c:pt idx="10">
                  <c:v>116.79548541491501</c:v>
                </c:pt>
                <c:pt idx="11">
                  <c:v>116.05491236013202</c:v>
                </c:pt>
                <c:pt idx="12">
                  <c:v>119.30340857641815</c:v>
                </c:pt>
                <c:pt idx="13">
                  <c:v>125.55300433348424</c:v>
                </c:pt>
                <c:pt idx="14">
                  <c:v>126.69782032210077</c:v>
                </c:pt>
                <c:pt idx="15">
                  <c:v>126.57007955500936</c:v>
                </c:pt>
                <c:pt idx="16">
                  <c:v>130.07244033374297</c:v>
                </c:pt>
                <c:pt idx="17">
                  <c:v>135.38580945605071</c:v>
                </c:pt>
                <c:pt idx="18">
                  <c:v>153.60099605458888</c:v>
                </c:pt>
                <c:pt idx="19">
                  <c:v>159.14882607852016</c:v>
                </c:pt>
                <c:pt idx="20">
                  <c:v>179.54207360455331</c:v>
                </c:pt>
                <c:pt idx="21">
                  <c:v>181.34984800465682</c:v>
                </c:pt>
                <c:pt idx="22">
                  <c:v>189.90686242804463</c:v>
                </c:pt>
                <c:pt idx="23">
                  <c:v>169.82407347519558</c:v>
                </c:pt>
                <c:pt idx="24">
                  <c:v>157.04837979432114</c:v>
                </c:pt>
                <c:pt idx="25">
                  <c:v>155.35541038742633</c:v>
                </c:pt>
                <c:pt idx="26">
                  <c:v>154.64555979561476</c:v>
                </c:pt>
                <c:pt idx="27">
                  <c:v>160.00582109824725</c:v>
                </c:pt>
                <c:pt idx="28">
                  <c:v>164.46704611603403</c:v>
                </c:pt>
                <c:pt idx="29">
                  <c:v>147.91410646141915</c:v>
                </c:pt>
                <c:pt idx="30">
                  <c:v>149.81889916564256</c:v>
                </c:pt>
                <c:pt idx="31">
                  <c:v>144.32119526550667</c:v>
                </c:pt>
                <c:pt idx="32">
                  <c:v>147.2495310781967</c:v>
                </c:pt>
                <c:pt idx="33">
                  <c:v>156.11377013129814</c:v>
                </c:pt>
                <c:pt idx="34">
                  <c:v>158.58611991462388</c:v>
                </c:pt>
                <c:pt idx="35">
                  <c:v>158.40501908026641</c:v>
                </c:pt>
                <c:pt idx="36">
                  <c:v>155.2098829312464</c:v>
                </c:pt>
                <c:pt idx="37">
                  <c:v>148.10329215445307</c:v>
                </c:pt>
              </c:numCache>
            </c:numRef>
          </c:val>
          <c:smooth val="0"/>
          <c:extLst>
            <c:ext xmlns:c16="http://schemas.microsoft.com/office/drawing/2014/chart" uri="{C3380CC4-5D6E-409C-BE32-E72D297353CC}">
              <c16:uniqueId val="{00000005-880F-4B28-A3E6-3BB12C934C00}"/>
            </c:ext>
          </c:extLst>
        </c:ser>
        <c:dLbls>
          <c:showLegendKey val="0"/>
          <c:showVal val="0"/>
          <c:showCatName val="0"/>
          <c:showSerName val="0"/>
          <c:showPercent val="0"/>
          <c:showBubbleSize val="0"/>
        </c:dLbls>
        <c:smooth val="0"/>
        <c:axId val="100236672"/>
        <c:axId val="100258944"/>
      </c:lineChart>
      <c:dateAx>
        <c:axId val="100236672"/>
        <c:scaling>
          <c:orientation val="minMax"/>
        </c:scaling>
        <c:delete val="0"/>
        <c:axPos val="b"/>
        <c:numFmt formatCode="dd/mm/yyyy" sourceLinked="1"/>
        <c:majorTickMark val="out"/>
        <c:minorTickMark val="none"/>
        <c:tickLblPos val="nextTo"/>
        <c:txPr>
          <a:bodyPr/>
          <a:lstStyle/>
          <a:p>
            <a:pPr>
              <a:defRPr sz="800">
                <a:latin typeface="Times New Roman" pitchFamily="18" charset="0"/>
                <a:cs typeface="Times New Roman" pitchFamily="18" charset="0"/>
              </a:defRPr>
            </a:pPr>
            <a:endParaRPr lang="en-US"/>
          </a:p>
        </c:txPr>
        <c:crossAx val="100258944"/>
        <c:crosses val="autoZero"/>
        <c:auto val="1"/>
        <c:lblOffset val="100"/>
        <c:baseTimeUnit val="days"/>
        <c:majorUnit val="1"/>
        <c:majorTimeUnit val="years"/>
        <c:minorUnit val="1"/>
        <c:minorTimeUnit val="years"/>
      </c:dateAx>
      <c:valAx>
        <c:axId val="100258944"/>
        <c:scaling>
          <c:orientation val="minMax"/>
          <c:min val="80"/>
        </c:scaling>
        <c:delete val="0"/>
        <c:axPos val="l"/>
        <c:numFmt formatCode="0" sourceLinked="0"/>
        <c:majorTickMark val="out"/>
        <c:minorTickMark val="none"/>
        <c:tickLblPos val="nextTo"/>
        <c:txPr>
          <a:bodyPr/>
          <a:lstStyle/>
          <a:p>
            <a:pPr>
              <a:defRPr sz="800">
                <a:latin typeface="Times New Roman" pitchFamily="18" charset="0"/>
                <a:cs typeface="Times New Roman" pitchFamily="18" charset="0"/>
              </a:defRPr>
            </a:pPr>
            <a:endParaRPr lang="en-US"/>
          </a:p>
        </c:txPr>
        <c:crossAx val="100236672"/>
        <c:crosses val="autoZero"/>
        <c:crossBetween val="between"/>
      </c:valAx>
    </c:plotArea>
    <c:legend>
      <c:legendPos val="r"/>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Sector_Eng!$AF$45:$AF$50</c:f>
              <c:strCache>
                <c:ptCount val="6"/>
                <c:pt idx="0">
                  <c:v>Real Estate</c:v>
                </c:pt>
                <c:pt idx="1">
                  <c:v>Financials</c:v>
                </c:pt>
                <c:pt idx="2">
                  <c:v>Consumer Staples</c:v>
                </c:pt>
                <c:pt idx="3">
                  <c:v>Industrials</c:v>
                </c:pt>
                <c:pt idx="4">
                  <c:v>Materials</c:v>
                </c:pt>
                <c:pt idx="5">
                  <c:v>Others</c:v>
                </c:pt>
              </c:strCache>
            </c:strRef>
          </c:cat>
          <c:val>
            <c:numRef>
              <c:f>Sector_Eng!$AE$45:$AE$50</c:f>
              <c:numCache>
                <c:formatCode>0.00%</c:formatCode>
                <c:ptCount val="6"/>
                <c:pt idx="0">
                  <c:v>0.29013524469094276</c:v>
                </c:pt>
                <c:pt idx="1">
                  <c:v>0.24038376450398144</c:v>
                </c:pt>
                <c:pt idx="2">
                  <c:v>0.2141401723130584</c:v>
                </c:pt>
                <c:pt idx="3">
                  <c:v>9.1595308813389439E-2</c:v>
                </c:pt>
                <c:pt idx="4">
                  <c:v>6.0710029119372635E-2</c:v>
                </c:pt>
                <c:pt idx="5">
                  <c:v>0.10303548055925538</c:v>
                </c:pt>
              </c:numCache>
            </c:numRef>
          </c:val>
          <c:extLst>
            <c:ext xmlns:c16="http://schemas.microsoft.com/office/drawing/2014/chart" uri="{C3380CC4-5D6E-409C-BE32-E72D297353CC}">
              <c16:uniqueId val="{00000000-199A-479F-843D-3F9EFE1A7DFA}"/>
            </c:ext>
          </c:extLst>
        </c:ser>
        <c:dLbls>
          <c:showLegendKey val="0"/>
          <c:showVal val="1"/>
          <c:showCatName val="1"/>
          <c:showSerName val="0"/>
          <c:showPercent val="0"/>
          <c:showBubbleSize val="0"/>
          <c:showLeaderLines val="1"/>
        </c:dLbls>
        <c:firstSliceAng val="0"/>
      </c:pieChart>
    </c:plotArea>
    <c:plotVisOnly val="1"/>
    <c:dispBlanksAs val="zero"/>
    <c:showDLblsOverMax val="0"/>
  </c:chart>
  <c:spPr>
    <a:ln>
      <a:noFill/>
    </a:ln>
  </c:spPr>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Charts!$AE$2</c:f>
          <c:strCache>
            <c:ptCount val="1"/>
            <c:pt idx="0">
              <c:v>Indices performance from 29/04/2016 to 26/04/2019</c:v>
            </c:pt>
          </c:strCache>
        </c:strRef>
      </c:tx>
      <c:overlay val="0"/>
      <c:txPr>
        <a:bodyPr/>
        <a:lstStyle/>
        <a:p>
          <a:pPr>
            <a:defRPr sz="900">
              <a:latin typeface="Times New Roman" pitchFamily="18" charset="0"/>
              <a:cs typeface="Times New Roman" pitchFamily="18" charset="0"/>
            </a:defRPr>
          </a:pPr>
          <a:endParaRPr lang="en-US"/>
        </a:p>
      </c:txPr>
    </c:title>
    <c:autoTitleDeleted val="0"/>
    <c:plotArea>
      <c:layout>
        <c:manualLayout>
          <c:layoutTarget val="inner"/>
          <c:xMode val="edge"/>
          <c:yMode val="edge"/>
          <c:x val="6.8272188636928299E-2"/>
          <c:y val="0.26336049749713836"/>
          <c:w val="0.66906206292253012"/>
          <c:h val="0.54822134522406152"/>
        </c:manualLayout>
      </c:layout>
      <c:lineChart>
        <c:grouping val="standard"/>
        <c:varyColors val="0"/>
        <c:ser>
          <c:idx val="3"/>
          <c:order val="0"/>
          <c:tx>
            <c:strRef>
              <c:f>Charts!$AI$4</c:f>
              <c:strCache>
                <c:ptCount val="1"/>
                <c:pt idx="0">
                  <c:v>VNSmallcap</c:v>
                </c:pt>
              </c:strCache>
            </c:strRef>
          </c:tx>
          <c:spPr>
            <a:ln w="19050"/>
          </c:spPr>
          <c:marker>
            <c:symbol val="none"/>
          </c:marker>
          <c:cat>
            <c:numRef>
              <c:f>Charts!$AE$5:$AE$42</c:f>
              <c:numCache>
                <c:formatCode>dd/mm/yyyy</c:formatCode>
                <c:ptCount val="38"/>
                <c:pt idx="0">
                  <c:v>42489</c:v>
                </c:pt>
                <c:pt idx="1">
                  <c:v>42489</c:v>
                </c:pt>
                <c:pt idx="2">
                  <c:v>42521</c:v>
                </c:pt>
                <c:pt idx="3">
                  <c:v>42551</c:v>
                </c:pt>
                <c:pt idx="4">
                  <c:v>42580</c:v>
                </c:pt>
                <c:pt idx="5">
                  <c:v>42613</c:v>
                </c:pt>
                <c:pt idx="6">
                  <c:v>42643</c:v>
                </c:pt>
                <c:pt idx="7">
                  <c:v>42674</c:v>
                </c:pt>
                <c:pt idx="8">
                  <c:v>42704</c:v>
                </c:pt>
                <c:pt idx="9">
                  <c:v>42734</c:v>
                </c:pt>
                <c:pt idx="10">
                  <c:v>42760</c:v>
                </c:pt>
                <c:pt idx="11">
                  <c:v>42794</c:v>
                </c:pt>
                <c:pt idx="12">
                  <c:v>42825</c:v>
                </c:pt>
                <c:pt idx="13">
                  <c:v>42853</c:v>
                </c:pt>
                <c:pt idx="14">
                  <c:v>42886</c:v>
                </c:pt>
                <c:pt idx="15">
                  <c:v>42916</c:v>
                </c:pt>
                <c:pt idx="16">
                  <c:v>42947</c:v>
                </c:pt>
                <c:pt idx="17">
                  <c:v>42978</c:v>
                </c:pt>
                <c:pt idx="18">
                  <c:v>43007</c:v>
                </c:pt>
                <c:pt idx="19">
                  <c:v>43039</c:v>
                </c:pt>
                <c:pt idx="20">
                  <c:v>43069</c:v>
                </c:pt>
                <c:pt idx="21">
                  <c:v>43098</c:v>
                </c:pt>
                <c:pt idx="22">
                  <c:v>43131</c:v>
                </c:pt>
                <c:pt idx="23">
                  <c:v>43159</c:v>
                </c:pt>
                <c:pt idx="24">
                  <c:v>43189</c:v>
                </c:pt>
                <c:pt idx="25">
                  <c:v>43217</c:v>
                </c:pt>
                <c:pt idx="26">
                  <c:v>43251</c:v>
                </c:pt>
                <c:pt idx="27">
                  <c:v>43280</c:v>
                </c:pt>
                <c:pt idx="28">
                  <c:v>43312</c:v>
                </c:pt>
                <c:pt idx="29">
                  <c:v>43343</c:v>
                </c:pt>
                <c:pt idx="30">
                  <c:v>43371</c:v>
                </c:pt>
                <c:pt idx="31">
                  <c:v>43404</c:v>
                </c:pt>
                <c:pt idx="32">
                  <c:v>43434</c:v>
                </c:pt>
                <c:pt idx="33">
                  <c:v>43462</c:v>
                </c:pt>
                <c:pt idx="34">
                  <c:v>43496</c:v>
                </c:pt>
                <c:pt idx="35">
                  <c:v>43524</c:v>
                </c:pt>
                <c:pt idx="36">
                  <c:v>43553</c:v>
                </c:pt>
                <c:pt idx="37">
                  <c:v>43494</c:v>
                </c:pt>
              </c:numCache>
            </c:numRef>
          </c:cat>
          <c:val>
            <c:numRef>
              <c:f>Charts!$AI$5:$AI$42</c:f>
              <c:numCache>
                <c:formatCode>0.00</c:formatCode>
                <c:ptCount val="38"/>
                <c:pt idx="0">
                  <c:v>100</c:v>
                </c:pt>
                <c:pt idx="1">
                  <c:v>100</c:v>
                </c:pt>
                <c:pt idx="2">
                  <c:v>100.32657791121827</c:v>
                </c:pt>
                <c:pt idx="3">
                  <c:v>109.82894165053533</c:v>
                </c:pt>
                <c:pt idx="4">
                  <c:v>109.14418151411002</c:v>
                </c:pt>
                <c:pt idx="5">
                  <c:v>104.77883564439878</c:v>
                </c:pt>
                <c:pt idx="6">
                  <c:v>105.99033434730505</c:v>
                </c:pt>
                <c:pt idx="7">
                  <c:v>104.76961771948534</c:v>
                </c:pt>
                <c:pt idx="8">
                  <c:v>103.39351321455374</c:v>
                </c:pt>
                <c:pt idx="9">
                  <c:v>98.709490512121505</c:v>
                </c:pt>
                <c:pt idx="10">
                  <c:v>98.785867604261213</c:v>
                </c:pt>
                <c:pt idx="11">
                  <c:v>105.795441077707</c:v>
                </c:pt>
                <c:pt idx="12">
                  <c:v>107.58503535732621</c:v>
                </c:pt>
                <c:pt idx="13">
                  <c:v>107.86157310472869</c:v>
                </c:pt>
                <c:pt idx="14">
                  <c:v>113.33702050329858</c:v>
                </c:pt>
                <c:pt idx="15">
                  <c:v>118.09083606578955</c:v>
                </c:pt>
                <c:pt idx="16">
                  <c:v>122.11511871370438</c:v>
                </c:pt>
                <c:pt idx="17">
                  <c:v>118.94151885065642</c:v>
                </c:pt>
                <c:pt idx="18">
                  <c:v>120.32289074125279</c:v>
                </c:pt>
                <c:pt idx="19">
                  <c:v>116.30519232541904</c:v>
                </c:pt>
                <c:pt idx="20">
                  <c:v>120.14906701431413</c:v>
                </c:pt>
                <c:pt idx="21">
                  <c:v>120.96156125311109</c:v>
                </c:pt>
                <c:pt idx="22">
                  <c:v>123.51492645412765</c:v>
                </c:pt>
                <c:pt idx="23">
                  <c:v>118.56490077562252</c:v>
                </c:pt>
                <c:pt idx="24">
                  <c:v>118.58992085753034</c:v>
                </c:pt>
                <c:pt idx="25">
                  <c:v>114.32728900828292</c:v>
                </c:pt>
                <c:pt idx="26">
                  <c:v>109.44310565058794</c:v>
                </c:pt>
                <c:pt idx="27">
                  <c:v>108.39884644253938</c:v>
                </c:pt>
                <c:pt idx="28">
                  <c:v>106.66719340523311</c:v>
                </c:pt>
                <c:pt idx="29">
                  <c:v>107.31244814917225</c:v>
                </c:pt>
                <c:pt idx="30">
                  <c:v>113.77421351347783</c:v>
                </c:pt>
                <c:pt idx="31">
                  <c:v>105.5649929548716</c:v>
                </c:pt>
                <c:pt idx="32">
                  <c:v>105.82836223811211</c:v>
                </c:pt>
                <c:pt idx="33">
                  <c:v>101.84358498268344</c:v>
                </c:pt>
                <c:pt idx="34">
                  <c:v>101.53807661412446</c:v>
                </c:pt>
                <c:pt idx="35">
                  <c:v>104.19415583560485</c:v>
                </c:pt>
                <c:pt idx="36">
                  <c:v>109.82235741845425</c:v>
                </c:pt>
                <c:pt idx="37">
                  <c:v>101.11800260735586</c:v>
                </c:pt>
              </c:numCache>
            </c:numRef>
          </c:val>
          <c:smooth val="0"/>
          <c:extLst>
            <c:ext xmlns:c16="http://schemas.microsoft.com/office/drawing/2014/chart" uri="{C3380CC4-5D6E-409C-BE32-E72D297353CC}">
              <c16:uniqueId val="{00000000-748A-4809-BA8D-D75D49361887}"/>
            </c:ext>
          </c:extLst>
        </c:ser>
        <c:ser>
          <c:idx val="4"/>
          <c:order val="1"/>
          <c:tx>
            <c:strRef>
              <c:f>Charts!$AJ$4</c:f>
              <c:strCache>
                <c:ptCount val="1"/>
                <c:pt idx="0">
                  <c:v>VNAllshare</c:v>
                </c:pt>
              </c:strCache>
            </c:strRef>
          </c:tx>
          <c:spPr>
            <a:ln w="19050"/>
          </c:spPr>
          <c:marker>
            <c:symbol val="none"/>
          </c:marker>
          <c:cat>
            <c:numRef>
              <c:f>Charts!$AE$5:$AE$42</c:f>
              <c:numCache>
                <c:formatCode>dd/mm/yyyy</c:formatCode>
                <c:ptCount val="38"/>
                <c:pt idx="0">
                  <c:v>42489</c:v>
                </c:pt>
                <c:pt idx="1">
                  <c:v>42489</c:v>
                </c:pt>
                <c:pt idx="2">
                  <c:v>42521</c:v>
                </c:pt>
                <c:pt idx="3">
                  <c:v>42551</c:v>
                </c:pt>
                <c:pt idx="4">
                  <c:v>42580</c:v>
                </c:pt>
                <c:pt idx="5">
                  <c:v>42613</c:v>
                </c:pt>
                <c:pt idx="6">
                  <c:v>42643</c:v>
                </c:pt>
                <c:pt idx="7">
                  <c:v>42674</c:v>
                </c:pt>
                <c:pt idx="8">
                  <c:v>42704</c:v>
                </c:pt>
                <c:pt idx="9">
                  <c:v>42734</c:v>
                </c:pt>
                <c:pt idx="10">
                  <c:v>42760</c:v>
                </c:pt>
                <c:pt idx="11">
                  <c:v>42794</c:v>
                </c:pt>
                <c:pt idx="12">
                  <c:v>42825</c:v>
                </c:pt>
                <c:pt idx="13">
                  <c:v>42853</c:v>
                </c:pt>
                <c:pt idx="14">
                  <c:v>42886</c:v>
                </c:pt>
                <c:pt idx="15">
                  <c:v>42916</c:v>
                </c:pt>
                <c:pt idx="16">
                  <c:v>42947</c:v>
                </c:pt>
                <c:pt idx="17">
                  <c:v>42978</c:v>
                </c:pt>
                <c:pt idx="18">
                  <c:v>43007</c:v>
                </c:pt>
                <c:pt idx="19">
                  <c:v>43039</c:v>
                </c:pt>
                <c:pt idx="20">
                  <c:v>43069</c:v>
                </c:pt>
                <c:pt idx="21">
                  <c:v>43098</c:v>
                </c:pt>
                <c:pt idx="22">
                  <c:v>43131</c:v>
                </c:pt>
                <c:pt idx="23">
                  <c:v>43159</c:v>
                </c:pt>
                <c:pt idx="24">
                  <c:v>43189</c:v>
                </c:pt>
                <c:pt idx="25">
                  <c:v>43217</c:v>
                </c:pt>
                <c:pt idx="26">
                  <c:v>43251</c:v>
                </c:pt>
                <c:pt idx="27">
                  <c:v>43280</c:v>
                </c:pt>
                <c:pt idx="28">
                  <c:v>43312</c:v>
                </c:pt>
                <c:pt idx="29">
                  <c:v>43343</c:v>
                </c:pt>
                <c:pt idx="30">
                  <c:v>43371</c:v>
                </c:pt>
                <c:pt idx="31">
                  <c:v>43404</c:v>
                </c:pt>
                <c:pt idx="32">
                  <c:v>43434</c:v>
                </c:pt>
                <c:pt idx="33">
                  <c:v>43462</c:v>
                </c:pt>
                <c:pt idx="34">
                  <c:v>43496</c:v>
                </c:pt>
                <c:pt idx="35">
                  <c:v>43524</c:v>
                </c:pt>
                <c:pt idx="36">
                  <c:v>43553</c:v>
                </c:pt>
                <c:pt idx="37">
                  <c:v>43494</c:v>
                </c:pt>
              </c:numCache>
            </c:numRef>
          </c:cat>
          <c:val>
            <c:numRef>
              <c:f>Charts!$AJ$5:$AJ$42</c:f>
              <c:numCache>
                <c:formatCode>0.00</c:formatCode>
                <c:ptCount val="38"/>
                <c:pt idx="0">
                  <c:v>100</c:v>
                </c:pt>
                <c:pt idx="1">
                  <c:v>100</c:v>
                </c:pt>
                <c:pt idx="2">
                  <c:v>102.37369848337742</c:v>
                </c:pt>
                <c:pt idx="3">
                  <c:v>105.99283538116444</c:v>
                </c:pt>
                <c:pt idx="4">
                  <c:v>108.42679701362617</c:v>
                </c:pt>
                <c:pt idx="5">
                  <c:v>111.05828785697554</c:v>
                </c:pt>
                <c:pt idx="6">
                  <c:v>112.40081690046544</c:v>
                </c:pt>
                <c:pt idx="7">
                  <c:v>108.68124142087122</c:v>
                </c:pt>
                <c:pt idx="8">
                  <c:v>106.01794502661635</c:v>
                </c:pt>
                <c:pt idx="9">
                  <c:v>104.32053299407423</c:v>
                </c:pt>
                <c:pt idx="10">
                  <c:v>106.77290836653395</c:v>
                </c:pt>
                <c:pt idx="11">
                  <c:v>110.48746191703775</c:v>
                </c:pt>
                <c:pt idx="12">
                  <c:v>115.57467608557374</c:v>
                </c:pt>
                <c:pt idx="13">
                  <c:v>115.00719809836298</c:v>
                </c:pt>
                <c:pt idx="14">
                  <c:v>120.59660517593501</c:v>
                </c:pt>
                <c:pt idx="15">
                  <c:v>128.74719608959137</c:v>
                </c:pt>
                <c:pt idx="16">
                  <c:v>127.97884093876604</c:v>
                </c:pt>
                <c:pt idx="17">
                  <c:v>128.46931601325795</c:v>
                </c:pt>
                <c:pt idx="18">
                  <c:v>131.48749539656504</c:v>
                </c:pt>
                <c:pt idx="19">
                  <c:v>134.14074793263924</c:v>
                </c:pt>
                <c:pt idx="20">
                  <c:v>150.97258026716668</c:v>
                </c:pt>
                <c:pt idx="21">
                  <c:v>155.70825939937731</c:v>
                </c:pt>
                <c:pt idx="22">
                  <c:v>171.61605678127836</c:v>
                </c:pt>
                <c:pt idx="23">
                  <c:v>171.47879071947514</c:v>
                </c:pt>
                <c:pt idx="24">
                  <c:v>179.27449864407916</c:v>
                </c:pt>
                <c:pt idx="25">
                  <c:v>162.59332418226251</c:v>
                </c:pt>
                <c:pt idx="26">
                  <c:v>150.15065787271078</c:v>
                </c:pt>
                <c:pt idx="27">
                  <c:v>149.52291673641565</c:v>
                </c:pt>
                <c:pt idx="28">
                  <c:v>150.26616224178923</c:v>
                </c:pt>
                <c:pt idx="29">
                  <c:v>153.52874217416053</c:v>
                </c:pt>
                <c:pt idx="30">
                  <c:v>158.14222103183911</c:v>
                </c:pt>
                <c:pt idx="31">
                  <c:v>143.05132411530352</c:v>
                </c:pt>
                <c:pt idx="32">
                  <c:v>142.80190163714889</c:v>
                </c:pt>
                <c:pt idx="33">
                  <c:v>136.99655160869125</c:v>
                </c:pt>
                <c:pt idx="34">
                  <c:v>139.29157320298637</c:v>
                </c:pt>
                <c:pt idx="35">
                  <c:v>147.03036593123301</c:v>
                </c:pt>
                <c:pt idx="36">
                  <c:v>146.89142589306638</c:v>
                </c:pt>
                <c:pt idx="37">
                  <c:v>139.96953363018514</c:v>
                </c:pt>
              </c:numCache>
            </c:numRef>
          </c:val>
          <c:smooth val="0"/>
          <c:extLst>
            <c:ext xmlns:c16="http://schemas.microsoft.com/office/drawing/2014/chart" uri="{C3380CC4-5D6E-409C-BE32-E72D297353CC}">
              <c16:uniqueId val="{00000001-748A-4809-BA8D-D75D49361887}"/>
            </c:ext>
          </c:extLst>
        </c:ser>
        <c:ser>
          <c:idx val="5"/>
          <c:order val="2"/>
          <c:tx>
            <c:strRef>
              <c:f>Charts!$AK$4</c:f>
              <c:strCache>
                <c:ptCount val="1"/>
                <c:pt idx="0">
                  <c:v>VN Index</c:v>
                </c:pt>
              </c:strCache>
            </c:strRef>
          </c:tx>
          <c:spPr>
            <a:ln w="19050"/>
          </c:spPr>
          <c:marker>
            <c:symbol val="none"/>
          </c:marker>
          <c:cat>
            <c:numRef>
              <c:f>Charts!$AE$5:$AE$42</c:f>
              <c:numCache>
                <c:formatCode>dd/mm/yyyy</c:formatCode>
                <c:ptCount val="38"/>
                <c:pt idx="0">
                  <c:v>42489</c:v>
                </c:pt>
                <c:pt idx="1">
                  <c:v>42489</c:v>
                </c:pt>
                <c:pt idx="2">
                  <c:v>42521</c:v>
                </c:pt>
                <c:pt idx="3">
                  <c:v>42551</c:v>
                </c:pt>
                <c:pt idx="4">
                  <c:v>42580</c:v>
                </c:pt>
                <c:pt idx="5">
                  <c:v>42613</c:v>
                </c:pt>
                <c:pt idx="6">
                  <c:v>42643</c:v>
                </c:pt>
                <c:pt idx="7">
                  <c:v>42674</c:v>
                </c:pt>
                <c:pt idx="8">
                  <c:v>42704</c:v>
                </c:pt>
                <c:pt idx="9">
                  <c:v>42734</c:v>
                </c:pt>
                <c:pt idx="10">
                  <c:v>42760</c:v>
                </c:pt>
                <c:pt idx="11">
                  <c:v>42794</c:v>
                </c:pt>
                <c:pt idx="12">
                  <c:v>42825</c:v>
                </c:pt>
                <c:pt idx="13">
                  <c:v>42853</c:v>
                </c:pt>
                <c:pt idx="14">
                  <c:v>42886</c:v>
                </c:pt>
                <c:pt idx="15">
                  <c:v>42916</c:v>
                </c:pt>
                <c:pt idx="16">
                  <c:v>42947</c:v>
                </c:pt>
                <c:pt idx="17">
                  <c:v>42978</c:v>
                </c:pt>
                <c:pt idx="18">
                  <c:v>43007</c:v>
                </c:pt>
                <c:pt idx="19">
                  <c:v>43039</c:v>
                </c:pt>
                <c:pt idx="20">
                  <c:v>43069</c:v>
                </c:pt>
                <c:pt idx="21">
                  <c:v>43098</c:v>
                </c:pt>
                <c:pt idx="22">
                  <c:v>43131</c:v>
                </c:pt>
                <c:pt idx="23">
                  <c:v>43159</c:v>
                </c:pt>
                <c:pt idx="24">
                  <c:v>43189</c:v>
                </c:pt>
                <c:pt idx="25">
                  <c:v>43217</c:v>
                </c:pt>
                <c:pt idx="26">
                  <c:v>43251</c:v>
                </c:pt>
                <c:pt idx="27">
                  <c:v>43280</c:v>
                </c:pt>
                <c:pt idx="28">
                  <c:v>43312</c:v>
                </c:pt>
                <c:pt idx="29">
                  <c:v>43343</c:v>
                </c:pt>
                <c:pt idx="30">
                  <c:v>43371</c:v>
                </c:pt>
                <c:pt idx="31">
                  <c:v>43404</c:v>
                </c:pt>
                <c:pt idx="32">
                  <c:v>43434</c:v>
                </c:pt>
                <c:pt idx="33">
                  <c:v>43462</c:v>
                </c:pt>
                <c:pt idx="34">
                  <c:v>43496</c:v>
                </c:pt>
                <c:pt idx="35">
                  <c:v>43524</c:v>
                </c:pt>
                <c:pt idx="36">
                  <c:v>43553</c:v>
                </c:pt>
                <c:pt idx="37">
                  <c:v>43494</c:v>
                </c:pt>
              </c:numCache>
            </c:numRef>
          </c:cat>
          <c:val>
            <c:numRef>
              <c:f>Charts!$AK$5:$AK$42</c:f>
              <c:numCache>
                <c:formatCode>0.00</c:formatCode>
                <c:ptCount val="38"/>
                <c:pt idx="0">
                  <c:v>100</c:v>
                </c:pt>
                <c:pt idx="1">
                  <c:v>100</c:v>
                </c:pt>
                <c:pt idx="2">
                  <c:v>103.35411200427833</c:v>
                </c:pt>
                <c:pt idx="3">
                  <c:v>105.6637197720474</c:v>
                </c:pt>
                <c:pt idx="4">
                  <c:v>109.00111970854152</c:v>
                </c:pt>
                <c:pt idx="5">
                  <c:v>112.74462289219043</c:v>
                </c:pt>
                <c:pt idx="6">
                  <c:v>114.59966241623073</c:v>
                </c:pt>
                <c:pt idx="7">
                  <c:v>112.94015408526491</c:v>
                </c:pt>
                <c:pt idx="8">
                  <c:v>111.14694921202596</c:v>
                </c:pt>
                <c:pt idx="9">
                  <c:v>111.11352507645768</c:v>
                </c:pt>
                <c:pt idx="10">
                  <c:v>116.52990624529973</c:v>
                </c:pt>
                <c:pt idx="11">
                  <c:v>118.78770660293794</c:v>
                </c:pt>
                <c:pt idx="12">
                  <c:v>120.71293681167171</c:v>
                </c:pt>
                <c:pt idx="13">
                  <c:v>119.94752410715779</c:v>
                </c:pt>
                <c:pt idx="14">
                  <c:v>123.30497852499288</c:v>
                </c:pt>
                <c:pt idx="15">
                  <c:v>129.76419272356557</c:v>
                </c:pt>
                <c:pt idx="16">
                  <c:v>130.94740712268322</c:v>
                </c:pt>
                <c:pt idx="17">
                  <c:v>130.81538178718839</c:v>
                </c:pt>
                <c:pt idx="18">
                  <c:v>134.43521566923468</c:v>
                </c:pt>
                <c:pt idx="19">
                  <c:v>139.92680114310542</c:v>
                </c:pt>
                <c:pt idx="20">
                  <c:v>158.75294550194695</c:v>
                </c:pt>
                <c:pt idx="21">
                  <c:v>164.48685595868781</c:v>
                </c:pt>
                <c:pt idx="22">
                  <c:v>185.56411584805394</c:v>
                </c:pt>
                <c:pt idx="23">
                  <c:v>187.43252502632166</c:v>
                </c:pt>
                <c:pt idx="24">
                  <c:v>196.27655129769221</c:v>
                </c:pt>
                <c:pt idx="25">
                  <c:v>175.52016310978169</c:v>
                </c:pt>
                <c:pt idx="26">
                  <c:v>162.31595835352726</c:v>
                </c:pt>
                <c:pt idx="27">
                  <c:v>160.56620485652701</c:v>
                </c:pt>
                <c:pt idx="28">
                  <c:v>159.83254508080287</c:v>
                </c:pt>
                <c:pt idx="29">
                  <c:v>165.37259555124757</c:v>
                </c:pt>
                <c:pt idx="30">
                  <c:v>169.98345505289385</c:v>
                </c:pt>
                <c:pt idx="31">
                  <c:v>152.87531126226258</c:v>
                </c:pt>
                <c:pt idx="32">
                  <c:v>154.84399284723503</c:v>
                </c:pt>
                <c:pt idx="33">
                  <c:v>149.16188980062506</c:v>
                </c:pt>
                <c:pt idx="34">
                  <c:v>152.18844527633414</c:v>
                </c:pt>
                <c:pt idx="35">
                  <c:v>161.35000083560357</c:v>
                </c:pt>
                <c:pt idx="36">
                  <c:v>163.90527599979961</c:v>
                </c:pt>
                <c:pt idx="37">
                  <c:v>153.0708424553371</c:v>
                </c:pt>
              </c:numCache>
            </c:numRef>
          </c:val>
          <c:smooth val="0"/>
          <c:extLst>
            <c:ext xmlns:c16="http://schemas.microsoft.com/office/drawing/2014/chart" uri="{C3380CC4-5D6E-409C-BE32-E72D297353CC}">
              <c16:uniqueId val="{00000002-748A-4809-BA8D-D75D49361887}"/>
            </c:ext>
          </c:extLst>
        </c:ser>
        <c:dLbls>
          <c:showLegendKey val="0"/>
          <c:showVal val="0"/>
          <c:showCatName val="0"/>
          <c:showSerName val="0"/>
          <c:showPercent val="0"/>
          <c:showBubbleSize val="0"/>
        </c:dLbls>
        <c:smooth val="0"/>
        <c:axId val="119764480"/>
        <c:axId val="119766016"/>
      </c:lineChart>
      <c:dateAx>
        <c:axId val="119764480"/>
        <c:scaling>
          <c:orientation val="minMax"/>
        </c:scaling>
        <c:delete val="0"/>
        <c:axPos val="b"/>
        <c:numFmt formatCode="dd/mm/yyyy" sourceLinked="1"/>
        <c:majorTickMark val="out"/>
        <c:minorTickMark val="none"/>
        <c:tickLblPos val="nextTo"/>
        <c:txPr>
          <a:bodyPr/>
          <a:lstStyle/>
          <a:p>
            <a:pPr>
              <a:defRPr sz="700">
                <a:latin typeface="Times New Roman" pitchFamily="18" charset="0"/>
                <a:cs typeface="Times New Roman" pitchFamily="18" charset="0"/>
              </a:defRPr>
            </a:pPr>
            <a:endParaRPr lang="en-US"/>
          </a:p>
        </c:txPr>
        <c:crossAx val="119766016"/>
        <c:crosses val="autoZero"/>
        <c:auto val="1"/>
        <c:lblOffset val="100"/>
        <c:baseTimeUnit val="days"/>
        <c:majorUnit val="1"/>
        <c:majorTimeUnit val="years"/>
        <c:minorUnit val="1"/>
        <c:minorTimeUnit val="years"/>
      </c:dateAx>
      <c:valAx>
        <c:axId val="119766016"/>
        <c:scaling>
          <c:orientation val="minMax"/>
          <c:min val="80"/>
        </c:scaling>
        <c:delete val="0"/>
        <c:axPos val="l"/>
        <c:numFmt formatCode="0" sourceLinked="0"/>
        <c:majorTickMark val="out"/>
        <c:minorTickMark val="none"/>
        <c:tickLblPos val="nextTo"/>
        <c:txPr>
          <a:bodyPr/>
          <a:lstStyle/>
          <a:p>
            <a:pPr>
              <a:defRPr sz="700">
                <a:latin typeface="Times New Roman" pitchFamily="18" charset="0"/>
                <a:cs typeface="Times New Roman" pitchFamily="18" charset="0"/>
              </a:defRPr>
            </a:pPr>
            <a:endParaRPr lang="en-US"/>
          </a:p>
        </c:txPr>
        <c:crossAx val="119764480"/>
        <c:crosses val="autoZero"/>
        <c:crossBetween val="between"/>
      </c:valAx>
    </c:plotArea>
    <c:legend>
      <c:legendPos val="r"/>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Sector_Eng!$AF$34:$AF$39</c:f>
              <c:strCache>
                <c:ptCount val="6"/>
                <c:pt idx="0">
                  <c:v>Industrials</c:v>
                </c:pt>
                <c:pt idx="1">
                  <c:v>Consumer Discretionary</c:v>
                </c:pt>
                <c:pt idx="2">
                  <c:v>Real Estate</c:v>
                </c:pt>
                <c:pt idx="3">
                  <c:v>Materials</c:v>
                </c:pt>
                <c:pt idx="4">
                  <c:v>Financials</c:v>
                </c:pt>
                <c:pt idx="5">
                  <c:v>Others</c:v>
                </c:pt>
              </c:strCache>
            </c:strRef>
          </c:cat>
          <c:val>
            <c:numRef>
              <c:f>Sector_Eng!$AE$34:$AE$39</c:f>
              <c:numCache>
                <c:formatCode>0.00%</c:formatCode>
                <c:ptCount val="6"/>
                <c:pt idx="0">
                  <c:v>0.26487500915602519</c:v>
                </c:pt>
                <c:pt idx="1">
                  <c:v>0.19216134122226325</c:v>
                </c:pt>
                <c:pt idx="2">
                  <c:v>0.14795065420051118</c:v>
                </c:pt>
                <c:pt idx="3">
                  <c:v>0.12903097937023505</c:v>
                </c:pt>
                <c:pt idx="4">
                  <c:v>6.2992562355273951E-2</c:v>
                </c:pt>
                <c:pt idx="5">
                  <c:v>0.20298945369569144</c:v>
                </c:pt>
              </c:numCache>
            </c:numRef>
          </c:val>
          <c:extLst>
            <c:ext xmlns:c16="http://schemas.microsoft.com/office/drawing/2014/chart" uri="{C3380CC4-5D6E-409C-BE32-E72D297353CC}">
              <c16:uniqueId val="{00000000-1EE0-42E9-84B4-CC83BB233CB2}"/>
            </c:ext>
          </c:extLst>
        </c:ser>
        <c:dLbls>
          <c:showLegendKey val="0"/>
          <c:showVal val="1"/>
          <c:showCatName val="1"/>
          <c:showSerName val="0"/>
          <c:showPercent val="0"/>
          <c:showBubbleSize val="0"/>
          <c:showLeaderLines val="1"/>
        </c:dLbls>
        <c:firstSliceAng val="0"/>
      </c:pieChart>
    </c:plotArea>
    <c:plotVisOnly val="1"/>
    <c:dispBlanksAs val="zero"/>
    <c:showDLblsOverMax val="0"/>
  </c:chart>
  <c:spPr>
    <a:ln>
      <a:noFill/>
    </a:ln>
  </c:spPr>
  <c:txPr>
    <a:bodyPr/>
    <a:lstStyle/>
    <a:p>
      <a:pPr>
        <a:defRPr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Charts!$AE$2</c:f>
          <c:strCache>
            <c:ptCount val="1"/>
            <c:pt idx="0">
              <c:v>Indices performance from 29/04/2016 to 26/04/2019</c:v>
            </c:pt>
          </c:strCache>
        </c:strRef>
      </c:tx>
      <c:overlay val="0"/>
      <c:txPr>
        <a:bodyPr/>
        <a:lstStyle/>
        <a:p>
          <a:pPr>
            <a:defRPr sz="900">
              <a:latin typeface="Times New Roman" pitchFamily="18" charset="0"/>
              <a:cs typeface="Times New Roman" pitchFamily="18" charset="0"/>
            </a:defRPr>
          </a:pPr>
          <a:endParaRPr lang="en-US"/>
        </a:p>
      </c:txPr>
    </c:title>
    <c:autoTitleDeleted val="0"/>
    <c:plotArea>
      <c:layout>
        <c:manualLayout>
          <c:layoutTarget val="inner"/>
          <c:xMode val="edge"/>
          <c:yMode val="edge"/>
          <c:x val="6.8272188636928299E-2"/>
          <c:y val="0.26336049749713836"/>
          <c:w val="0.67700225240152911"/>
          <c:h val="0.53954248031024021"/>
        </c:manualLayout>
      </c:layout>
      <c:lineChart>
        <c:grouping val="standard"/>
        <c:varyColors val="0"/>
        <c:ser>
          <c:idx val="4"/>
          <c:order val="0"/>
          <c:tx>
            <c:strRef>
              <c:f>Charts!$AJ$4</c:f>
              <c:strCache>
                <c:ptCount val="1"/>
                <c:pt idx="0">
                  <c:v>VNAllshare</c:v>
                </c:pt>
              </c:strCache>
            </c:strRef>
          </c:tx>
          <c:spPr>
            <a:ln w="19050"/>
          </c:spPr>
          <c:marker>
            <c:symbol val="none"/>
          </c:marker>
          <c:cat>
            <c:numRef>
              <c:f>Charts!$AE$5:$AE$42</c:f>
              <c:numCache>
                <c:formatCode>dd/mm/yyyy</c:formatCode>
                <c:ptCount val="38"/>
                <c:pt idx="0">
                  <c:v>42489</c:v>
                </c:pt>
                <c:pt idx="1">
                  <c:v>42489</c:v>
                </c:pt>
                <c:pt idx="2">
                  <c:v>42521</c:v>
                </c:pt>
                <c:pt idx="3">
                  <c:v>42551</c:v>
                </c:pt>
                <c:pt idx="4">
                  <c:v>42580</c:v>
                </c:pt>
                <c:pt idx="5">
                  <c:v>42613</c:v>
                </c:pt>
                <c:pt idx="6">
                  <c:v>42643</c:v>
                </c:pt>
                <c:pt idx="7">
                  <c:v>42674</c:v>
                </c:pt>
                <c:pt idx="8">
                  <c:v>42704</c:v>
                </c:pt>
                <c:pt idx="9">
                  <c:v>42734</c:v>
                </c:pt>
                <c:pt idx="10">
                  <c:v>42760</c:v>
                </c:pt>
                <c:pt idx="11">
                  <c:v>42794</c:v>
                </c:pt>
                <c:pt idx="12">
                  <c:v>42825</c:v>
                </c:pt>
                <c:pt idx="13">
                  <c:v>42853</c:v>
                </c:pt>
                <c:pt idx="14">
                  <c:v>42886</c:v>
                </c:pt>
                <c:pt idx="15">
                  <c:v>42916</c:v>
                </c:pt>
                <c:pt idx="16">
                  <c:v>42947</c:v>
                </c:pt>
                <c:pt idx="17">
                  <c:v>42978</c:v>
                </c:pt>
                <c:pt idx="18">
                  <c:v>43007</c:v>
                </c:pt>
                <c:pt idx="19">
                  <c:v>43039</c:v>
                </c:pt>
                <c:pt idx="20">
                  <c:v>43069</c:v>
                </c:pt>
                <c:pt idx="21">
                  <c:v>43098</c:v>
                </c:pt>
                <c:pt idx="22">
                  <c:v>43131</c:v>
                </c:pt>
                <c:pt idx="23">
                  <c:v>43159</c:v>
                </c:pt>
                <c:pt idx="24">
                  <c:v>43189</c:v>
                </c:pt>
                <c:pt idx="25">
                  <c:v>43217</c:v>
                </c:pt>
                <c:pt idx="26">
                  <c:v>43251</c:v>
                </c:pt>
                <c:pt idx="27">
                  <c:v>43280</c:v>
                </c:pt>
                <c:pt idx="28">
                  <c:v>43312</c:v>
                </c:pt>
                <c:pt idx="29">
                  <c:v>43343</c:v>
                </c:pt>
                <c:pt idx="30">
                  <c:v>43371</c:v>
                </c:pt>
                <c:pt idx="31">
                  <c:v>43404</c:v>
                </c:pt>
                <c:pt idx="32">
                  <c:v>43434</c:v>
                </c:pt>
                <c:pt idx="33">
                  <c:v>43462</c:v>
                </c:pt>
                <c:pt idx="34">
                  <c:v>43496</c:v>
                </c:pt>
                <c:pt idx="35">
                  <c:v>43524</c:v>
                </c:pt>
                <c:pt idx="36">
                  <c:v>43553</c:v>
                </c:pt>
                <c:pt idx="37">
                  <c:v>43494</c:v>
                </c:pt>
              </c:numCache>
            </c:numRef>
          </c:cat>
          <c:val>
            <c:numRef>
              <c:f>Charts!$AJ$5:$AJ$42</c:f>
              <c:numCache>
                <c:formatCode>0.00</c:formatCode>
                <c:ptCount val="38"/>
                <c:pt idx="0">
                  <c:v>100</c:v>
                </c:pt>
                <c:pt idx="1">
                  <c:v>100</c:v>
                </c:pt>
                <c:pt idx="2">
                  <c:v>102.37369848337742</c:v>
                </c:pt>
                <c:pt idx="3">
                  <c:v>105.99283538116444</c:v>
                </c:pt>
                <c:pt idx="4">
                  <c:v>108.42679701362617</c:v>
                </c:pt>
                <c:pt idx="5">
                  <c:v>111.05828785697554</c:v>
                </c:pt>
                <c:pt idx="6">
                  <c:v>112.40081690046544</c:v>
                </c:pt>
                <c:pt idx="7">
                  <c:v>108.68124142087122</c:v>
                </c:pt>
                <c:pt idx="8">
                  <c:v>106.01794502661635</c:v>
                </c:pt>
                <c:pt idx="9">
                  <c:v>104.32053299407423</c:v>
                </c:pt>
                <c:pt idx="10">
                  <c:v>106.77290836653395</c:v>
                </c:pt>
                <c:pt idx="11">
                  <c:v>110.48746191703775</c:v>
                </c:pt>
                <c:pt idx="12">
                  <c:v>115.57467608557374</c:v>
                </c:pt>
                <c:pt idx="13">
                  <c:v>115.00719809836298</c:v>
                </c:pt>
                <c:pt idx="14">
                  <c:v>120.59660517593501</c:v>
                </c:pt>
                <c:pt idx="15">
                  <c:v>128.74719608959137</c:v>
                </c:pt>
                <c:pt idx="16">
                  <c:v>127.97884093876604</c:v>
                </c:pt>
                <c:pt idx="17">
                  <c:v>128.46931601325795</c:v>
                </c:pt>
                <c:pt idx="18">
                  <c:v>131.48749539656504</c:v>
                </c:pt>
                <c:pt idx="19">
                  <c:v>134.14074793263924</c:v>
                </c:pt>
                <c:pt idx="20">
                  <c:v>150.97258026716668</c:v>
                </c:pt>
                <c:pt idx="21">
                  <c:v>155.70825939937731</c:v>
                </c:pt>
                <c:pt idx="22">
                  <c:v>171.61605678127836</c:v>
                </c:pt>
                <c:pt idx="23">
                  <c:v>171.47879071947514</c:v>
                </c:pt>
                <c:pt idx="24">
                  <c:v>179.27449864407916</c:v>
                </c:pt>
                <c:pt idx="25">
                  <c:v>162.59332418226251</c:v>
                </c:pt>
                <c:pt idx="26">
                  <c:v>150.15065787271078</c:v>
                </c:pt>
                <c:pt idx="27">
                  <c:v>149.52291673641565</c:v>
                </c:pt>
                <c:pt idx="28">
                  <c:v>150.26616224178923</c:v>
                </c:pt>
                <c:pt idx="29">
                  <c:v>153.52874217416053</c:v>
                </c:pt>
                <c:pt idx="30">
                  <c:v>158.14222103183911</c:v>
                </c:pt>
                <c:pt idx="31">
                  <c:v>143.05132411530352</c:v>
                </c:pt>
                <c:pt idx="32">
                  <c:v>142.80190163714889</c:v>
                </c:pt>
                <c:pt idx="33">
                  <c:v>136.99655160869125</c:v>
                </c:pt>
                <c:pt idx="34">
                  <c:v>139.29157320298637</c:v>
                </c:pt>
                <c:pt idx="35">
                  <c:v>147.03036593123301</c:v>
                </c:pt>
                <c:pt idx="36">
                  <c:v>146.89142589306638</c:v>
                </c:pt>
                <c:pt idx="37">
                  <c:v>139.96953363018514</c:v>
                </c:pt>
              </c:numCache>
            </c:numRef>
          </c:val>
          <c:smooth val="0"/>
          <c:extLst>
            <c:ext xmlns:c16="http://schemas.microsoft.com/office/drawing/2014/chart" uri="{C3380CC4-5D6E-409C-BE32-E72D297353CC}">
              <c16:uniqueId val="{00000000-B22F-4EEE-8F03-2ED2EDE8A431}"/>
            </c:ext>
          </c:extLst>
        </c:ser>
        <c:ser>
          <c:idx val="5"/>
          <c:order val="1"/>
          <c:tx>
            <c:strRef>
              <c:f>Charts!$AK$4</c:f>
              <c:strCache>
                <c:ptCount val="1"/>
                <c:pt idx="0">
                  <c:v>VN Index</c:v>
                </c:pt>
              </c:strCache>
            </c:strRef>
          </c:tx>
          <c:spPr>
            <a:ln w="19050"/>
          </c:spPr>
          <c:marker>
            <c:symbol val="none"/>
          </c:marker>
          <c:cat>
            <c:numRef>
              <c:f>Charts!$AE$5:$AE$42</c:f>
              <c:numCache>
                <c:formatCode>dd/mm/yyyy</c:formatCode>
                <c:ptCount val="38"/>
                <c:pt idx="0">
                  <c:v>42489</c:v>
                </c:pt>
                <c:pt idx="1">
                  <c:v>42489</c:v>
                </c:pt>
                <c:pt idx="2">
                  <c:v>42521</c:v>
                </c:pt>
                <c:pt idx="3">
                  <c:v>42551</c:v>
                </c:pt>
                <c:pt idx="4">
                  <c:v>42580</c:v>
                </c:pt>
                <c:pt idx="5">
                  <c:v>42613</c:v>
                </c:pt>
                <c:pt idx="6">
                  <c:v>42643</c:v>
                </c:pt>
                <c:pt idx="7">
                  <c:v>42674</c:v>
                </c:pt>
                <c:pt idx="8">
                  <c:v>42704</c:v>
                </c:pt>
                <c:pt idx="9">
                  <c:v>42734</c:v>
                </c:pt>
                <c:pt idx="10">
                  <c:v>42760</c:v>
                </c:pt>
                <c:pt idx="11">
                  <c:v>42794</c:v>
                </c:pt>
                <c:pt idx="12">
                  <c:v>42825</c:v>
                </c:pt>
                <c:pt idx="13">
                  <c:v>42853</c:v>
                </c:pt>
                <c:pt idx="14">
                  <c:v>42886</c:v>
                </c:pt>
                <c:pt idx="15">
                  <c:v>42916</c:v>
                </c:pt>
                <c:pt idx="16">
                  <c:v>42947</c:v>
                </c:pt>
                <c:pt idx="17">
                  <c:v>42978</c:v>
                </c:pt>
                <c:pt idx="18">
                  <c:v>43007</c:v>
                </c:pt>
                <c:pt idx="19">
                  <c:v>43039</c:v>
                </c:pt>
                <c:pt idx="20">
                  <c:v>43069</c:v>
                </c:pt>
                <c:pt idx="21">
                  <c:v>43098</c:v>
                </c:pt>
                <c:pt idx="22">
                  <c:v>43131</c:v>
                </c:pt>
                <c:pt idx="23">
                  <c:v>43159</c:v>
                </c:pt>
                <c:pt idx="24">
                  <c:v>43189</c:v>
                </c:pt>
                <c:pt idx="25">
                  <c:v>43217</c:v>
                </c:pt>
                <c:pt idx="26">
                  <c:v>43251</c:v>
                </c:pt>
                <c:pt idx="27">
                  <c:v>43280</c:v>
                </c:pt>
                <c:pt idx="28">
                  <c:v>43312</c:v>
                </c:pt>
                <c:pt idx="29">
                  <c:v>43343</c:v>
                </c:pt>
                <c:pt idx="30">
                  <c:v>43371</c:v>
                </c:pt>
                <c:pt idx="31">
                  <c:v>43404</c:v>
                </c:pt>
                <c:pt idx="32">
                  <c:v>43434</c:v>
                </c:pt>
                <c:pt idx="33">
                  <c:v>43462</c:v>
                </c:pt>
                <c:pt idx="34">
                  <c:v>43496</c:v>
                </c:pt>
                <c:pt idx="35">
                  <c:v>43524</c:v>
                </c:pt>
                <c:pt idx="36">
                  <c:v>43553</c:v>
                </c:pt>
                <c:pt idx="37">
                  <c:v>43494</c:v>
                </c:pt>
              </c:numCache>
            </c:numRef>
          </c:cat>
          <c:val>
            <c:numRef>
              <c:f>Charts!$AK$5:$AK$42</c:f>
              <c:numCache>
                <c:formatCode>0.00</c:formatCode>
                <c:ptCount val="38"/>
                <c:pt idx="0">
                  <c:v>100</c:v>
                </c:pt>
                <c:pt idx="1">
                  <c:v>100</c:v>
                </c:pt>
                <c:pt idx="2">
                  <c:v>103.35411200427833</c:v>
                </c:pt>
                <c:pt idx="3">
                  <c:v>105.6637197720474</c:v>
                </c:pt>
                <c:pt idx="4">
                  <c:v>109.00111970854152</c:v>
                </c:pt>
                <c:pt idx="5">
                  <c:v>112.74462289219043</c:v>
                </c:pt>
                <c:pt idx="6">
                  <c:v>114.59966241623073</c:v>
                </c:pt>
                <c:pt idx="7">
                  <c:v>112.94015408526491</c:v>
                </c:pt>
                <c:pt idx="8">
                  <c:v>111.14694921202596</c:v>
                </c:pt>
                <c:pt idx="9">
                  <c:v>111.11352507645768</c:v>
                </c:pt>
                <c:pt idx="10">
                  <c:v>116.52990624529973</c:v>
                </c:pt>
                <c:pt idx="11">
                  <c:v>118.78770660293794</c:v>
                </c:pt>
                <c:pt idx="12">
                  <c:v>120.71293681167171</c:v>
                </c:pt>
                <c:pt idx="13">
                  <c:v>119.94752410715779</c:v>
                </c:pt>
                <c:pt idx="14">
                  <c:v>123.30497852499288</c:v>
                </c:pt>
                <c:pt idx="15">
                  <c:v>129.76419272356557</c:v>
                </c:pt>
                <c:pt idx="16">
                  <c:v>130.94740712268322</c:v>
                </c:pt>
                <c:pt idx="17">
                  <c:v>130.81538178718839</c:v>
                </c:pt>
                <c:pt idx="18">
                  <c:v>134.43521566923468</c:v>
                </c:pt>
                <c:pt idx="19">
                  <c:v>139.92680114310542</c:v>
                </c:pt>
                <c:pt idx="20">
                  <c:v>158.75294550194695</c:v>
                </c:pt>
                <c:pt idx="21">
                  <c:v>164.48685595868781</c:v>
                </c:pt>
                <c:pt idx="22">
                  <c:v>185.56411584805394</c:v>
                </c:pt>
                <c:pt idx="23">
                  <c:v>187.43252502632166</c:v>
                </c:pt>
                <c:pt idx="24">
                  <c:v>196.27655129769221</c:v>
                </c:pt>
                <c:pt idx="25">
                  <c:v>175.52016310978169</c:v>
                </c:pt>
                <c:pt idx="26">
                  <c:v>162.31595835352726</c:v>
                </c:pt>
                <c:pt idx="27">
                  <c:v>160.56620485652701</c:v>
                </c:pt>
                <c:pt idx="28">
                  <c:v>159.83254508080287</c:v>
                </c:pt>
                <c:pt idx="29">
                  <c:v>165.37259555124757</c:v>
                </c:pt>
                <c:pt idx="30">
                  <c:v>169.98345505289385</c:v>
                </c:pt>
                <c:pt idx="31">
                  <c:v>152.87531126226258</c:v>
                </c:pt>
                <c:pt idx="32">
                  <c:v>154.84399284723503</c:v>
                </c:pt>
                <c:pt idx="33">
                  <c:v>149.16188980062506</c:v>
                </c:pt>
                <c:pt idx="34">
                  <c:v>152.18844527633414</c:v>
                </c:pt>
                <c:pt idx="35">
                  <c:v>161.35000083560357</c:v>
                </c:pt>
                <c:pt idx="36">
                  <c:v>163.90527599979961</c:v>
                </c:pt>
                <c:pt idx="37">
                  <c:v>153.0708424553371</c:v>
                </c:pt>
              </c:numCache>
            </c:numRef>
          </c:val>
          <c:smooth val="0"/>
          <c:extLst>
            <c:ext xmlns:c16="http://schemas.microsoft.com/office/drawing/2014/chart" uri="{C3380CC4-5D6E-409C-BE32-E72D297353CC}">
              <c16:uniqueId val="{00000001-B22F-4EEE-8F03-2ED2EDE8A431}"/>
            </c:ext>
          </c:extLst>
        </c:ser>
        <c:dLbls>
          <c:showLegendKey val="0"/>
          <c:showVal val="0"/>
          <c:showCatName val="0"/>
          <c:showSerName val="0"/>
          <c:showPercent val="0"/>
          <c:showBubbleSize val="0"/>
        </c:dLbls>
        <c:smooth val="0"/>
        <c:axId val="119609216"/>
        <c:axId val="119610752"/>
      </c:lineChart>
      <c:dateAx>
        <c:axId val="119609216"/>
        <c:scaling>
          <c:orientation val="minMax"/>
        </c:scaling>
        <c:delete val="0"/>
        <c:axPos val="b"/>
        <c:numFmt formatCode="dd/mm/yyyy" sourceLinked="1"/>
        <c:majorTickMark val="out"/>
        <c:minorTickMark val="none"/>
        <c:tickLblPos val="nextTo"/>
        <c:txPr>
          <a:bodyPr/>
          <a:lstStyle/>
          <a:p>
            <a:pPr>
              <a:defRPr sz="700">
                <a:latin typeface="Times New Roman" pitchFamily="18" charset="0"/>
                <a:cs typeface="Times New Roman" pitchFamily="18" charset="0"/>
              </a:defRPr>
            </a:pPr>
            <a:endParaRPr lang="en-US"/>
          </a:p>
        </c:txPr>
        <c:crossAx val="119610752"/>
        <c:crosses val="autoZero"/>
        <c:auto val="1"/>
        <c:lblOffset val="100"/>
        <c:baseTimeUnit val="days"/>
        <c:majorUnit val="1"/>
        <c:majorTimeUnit val="years"/>
        <c:minorUnit val="1"/>
        <c:minorTimeUnit val="years"/>
      </c:dateAx>
      <c:valAx>
        <c:axId val="119610752"/>
        <c:scaling>
          <c:orientation val="minMax"/>
          <c:min val="80"/>
        </c:scaling>
        <c:delete val="0"/>
        <c:axPos val="l"/>
        <c:numFmt formatCode="0" sourceLinked="0"/>
        <c:majorTickMark val="out"/>
        <c:minorTickMark val="none"/>
        <c:tickLblPos val="nextTo"/>
        <c:txPr>
          <a:bodyPr/>
          <a:lstStyle/>
          <a:p>
            <a:pPr>
              <a:defRPr sz="700">
                <a:latin typeface="Times New Roman" pitchFamily="18" charset="0"/>
                <a:cs typeface="Times New Roman" pitchFamily="18" charset="0"/>
              </a:defRPr>
            </a:pPr>
            <a:endParaRPr lang="en-US"/>
          </a:p>
        </c:txPr>
        <c:crossAx val="119609216"/>
        <c:crosses val="autoZero"/>
        <c:crossBetween val="between"/>
      </c:valAx>
    </c:plotArea>
    <c:legend>
      <c:legendPos val="r"/>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Sector_Eng!$AF$15:$AF$20</c:f>
              <c:strCache>
                <c:ptCount val="6"/>
                <c:pt idx="0">
                  <c:v>Real Estate</c:v>
                </c:pt>
                <c:pt idx="1">
                  <c:v>Financials</c:v>
                </c:pt>
                <c:pt idx="2">
                  <c:v>Consumer Staples</c:v>
                </c:pt>
                <c:pt idx="3">
                  <c:v>Industrials</c:v>
                </c:pt>
                <c:pt idx="4">
                  <c:v>Materials</c:v>
                </c:pt>
                <c:pt idx="5">
                  <c:v>Others</c:v>
                </c:pt>
              </c:strCache>
            </c:strRef>
          </c:cat>
          <c:val>
            <c:numRef>
              <c:f>Sector_Eng!$AE$15:$AE$20</c:f>
              <c:numCache>
                <c:formatCode>0.00%</c:formatCode>
                <c:ptCount val="6"/>
                <c:pt idx="0">
                  <c:v>0.28361223689615067</c:v>
                </c:pt>
                <c:pt idx="1">
                  <c:v>0.23224558166467152</c:v>
                </c:pt>
                <c:pt idx="2">
                  <c:v>0.20704193096995005</c:v>
                </c:pt>
                <c:pt idx="3">
                  <c:v>9.9544868130018005E-2</c:v>
                </c:pt>
                <c:pt idx="4">
                  <c:v>6.3844391918440921E-2</c:v>
                </c:pt>
                <c:pt idx="5">
                  <c:v>0.11371099042076882</c:v>
                </c:pt>
              </c:numCache>
            </c:numRef>
          </c:val>
          <c:extLst>
            <c:ext xmlns:c16="http://schemas.microsoft.com/office/drawing/2014/chart" uri="{C3380CC4-5D6E-409C-BE32-E72D297353CC}">
              <c16:uniqueId val="{00000000-1A19-471E-9EF5-EB0D2CC2CCA4}"/>
            </c:ext>
          </c:extLst>
        </c:ser>
        <c:dLbls>
          <c:showLegendKey val="0"/>
          <c:showVal val="1"/>
          <c:showCatName val="1"/>
          <c:showSerName val="0"/>
          <c:showPercent val="0"/>
          <c:showBubbleSize val="0"/>
          <c:showLeaderLines val="1"/>
        </c:dLbls>
        <c:firstSliceAng val="0"/>
      </c:pieChart>
    </c:plotArea>
    <c:plotVisOnly val="1"/>
    <c:dispBlanksAs val="zero"/>
    <c:showDLblsOverMax val="0"/>
  </c:chart>
  <c:spPr>
    <a:ln>
      <a:noFill/>
    </a:ln>
  </c:spPr>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Charts!$AE$2</c:f>
          <c:strCache>
            <c:ptCount val="1"/>
            <c:pt idx="0">
              <c:v>Indices performance from 29/04/2016 to 26/04/2019</c:v>
            </c:pt>
          </c:strCache>
        </c:strRef>
      </c:tx>
      <c:overlay val="0"/>
      <c:txPr>
        <a:bodyPr/>
        <a:lstStyle/>
        <a:p>
          <a:pPr>
            <a:defRPr sz="900">
              <a:latin typeface="Times New Roman" pitchFamily="18" charset="0"/>
              <a:cs typeface="Times New Roman" pitchFamily="18" charset="0"/>
            </a:defRPr>
          </a:pPr>
          <a:endParaRPr lang="en-US"/>
        </a:p>
      </c:txPr>
    </c:title>
    <c:autoTitleDeleted val="0"/>
    <c:plotArea>
      <c:layout>
        <c:manualLayout>
          <c:layoutTarget val="inner"/>
          <c:xMode val="edge"/>
          <c:yMode val="edge"/>
          <c:x val="6.8272188636928299E-2"/>
          <c:y val="0.26336049749713836"/>
          <c:w val="0.67700225240152911"/>
          <c:h val="0.53954248031024021"/>
        </c:manualLayout>
      </c:layout>
      <c:lineChart>
        <c:grouping val="standard"/>
        <c:varyColors val="0"/>
        <c:ser>
          <c:idx val="0"/>
          <c:order val="0"/>
          <c:tx>
            <c:strRef>
              <c:f>Charts!$AF$4</c:f>
              <c:strCache>
                <c:ptCount val="1"/>
                <c:pt idx="0">
                  <c:v>VN30</c:v>
                </c:pt>
              </c:strCache>
            </c:strRef>
          </c:tx>
          <c:spPr>
            <a:ln w="19050"/>
          </c:spPr>
          <c:marker>
            <c:symbol val="none"/>
          </c:marker>
          <c:cat>
            <c:numRef>
              <c:f>Charts!$AE$5:$AE$42</c:f>
              <c:numCache>
                <c:formatCode>dd/mm/yyyy</c:formatCode>
                <c:ptCount val="38"/>
                <c:pt idx="0">
                  <c:v>42489</c:v>
                </c:pt>
                <c:pt idx="1">
                  <c:v>42489</c:v>
                </c:pt>
                <c:pt idx="2">
                  <c:v>42521</c:v>
                </c:pt>
                <c:pt idx="3">
                  <c:v>42551</c:v>
                </c:pt>
                <c:pt idx="4">
                  <c:v>42580</c:v>
                </c:pt>
                <c:pt idx="5">
                  <c:v>42613</c:v>
                </c:pt>
                <c:pt idx="6">
                  <c:v>42643</c:v>
                </c:pt>
                <c:pt idx="7">
                  <c:v>42674</c:v>
                </c:pt>
                <c:pt idx="8">
                  <c:v>42704</c:v>
                </c:pt>
                <c:pt idx="9">
                  <c:v>42734</c:v>
                </c:pt>
                <c:pt idx="10">
                  <c:v>42760</c:v>
                </c:pt>
                <c:pt idx="11">
                  <c:v>42794</c:v>
                </c:pt>
                <c:pt idx="12">
                  <c:v>42825</c:v>
                </c:pt>
                <c:pt idx="13">
                  <c:v>42853</c:v>
                </c:pt>
                <c:pt idx="14">
                  <c:v>42886</c:v>
                </c:pt>
                <c:pt idx="15">
                  <c:v>42916</c:v>
                </c:pt>
                <c:pt idx="16">
                  <c:v>42947</c:v>
                </c:pt>
                <c:pt idx="17">
                  <c:v>42978</c:v>
                </c:pt>
                <c:pt idx="18">
                  <c:v>43007</c:v>
                </c:pt>
                <c:pt idx="19">
                  <c:v>43039</c:v>
                </c:pt>
                <c:pt idx="20">
                  <c:v>43069</c:v>
                </c:pt>
                <c:pt idx="21">
                  <c:v>43098</c:v>
                </c:pt>
                <c:pt idx="22">
                  <c:v>43131</c:v>
                </c:pt>
                <c:pt idx="23">
                  <c:v>43159</c:v>
                </c:pt>
                <c:pt idx="24">
                  <c:v>43189</c:v>
                </c:pt>
                <c:pt idx="25">
                  <c:v>43217</c:v>
                </c:pt>
                <c:pt idx="26">
                  <c:v>43251</c:v>
                </c:pt>
                <c:pt idx="27">
                  <c:v>43280</c:v>
                </c:pt>
                <c:pt idx="28">
                  <c:v>43312</c:v>
                </c:pt>
                <c:pt idx="29">
                  <c:v>43343</c:v>
                </c:pt>
                <c:pt idx="30">
                  <c:v>43371</c:v>
                </c:pt>
                <c:pt idx="31">
                  <c:v>43404</c:v>
                </c:pt>
                <c:pt idx="32">
                  <c:v>43434</c:v>
                </c:pt>
                <c:pt idx="33">
                  <c:v>43462</c:v>
                </c:pt>
                <c:pt idx="34">
                  <c:v>43496</c:v>
                </c:pt>
                <c:pt idx="35">
                  <c:v>43524</c:v>
                </c:pt>
                <c:pt idx="36">
                  <c:v>43553</c:v>
                </c:pt>
                <c:pt idx="37">
                  <c:v>43494</c:v>
                </c:pt>
              </c:numCache>
            </c:numRef>
          </c:cat>
          <c:val>
            <c:numRef>
              <c:f>Charts!$AF$5:$AF$42</c:f>
              <c:numCache>
                <c:formatCode>0.00</c:formatCode>
                <c:ptCount val="38"/>
                <c:pt idx="0">
                  <c:v>100</c:v>
                </c:pt>
                <c:pt idx="1">
                  <c:v>100</c:v>
                </c:pt>
                <c:pt idx="2">
                  <c:v>102.70602910602913</c:v>
                </c:pt>
                <c:pt idx="3">
                  <c:v>103.4162162162162</c:v>
                </c:pt>
                <c:pt idx="4">
                  <c:v>106.30686070686066</c:v>
                </c:pt>
                <c:pt idx="5">
                  <c:v>110.64449064449066</c:v>
                </c:pt>
                <c:pt idx="6">
                  <c:v>111.17505197505196</c:v>
                </c:pt>
                <c:pt idx="7">
                  <c:v>107.14677754677753</c:v>
                </c:pt>
                <c:pt idx="8">
                  <c:v>105.09604989604988</c:v>
                </c:pt>
                <c:pt idx="9">
                  <c:v>104.48399168399172</c:v>
                </c:pt>
                <c:pt idx="10">
                  <c:v>107.24158004158008</c:v>
                </c:pt>
                <c:pt idx="11">
                  <c:v>109.43035343035349</c:v>
                </c:pt>
                <c:pt idx="12">
                  <c:v>115.29646569646577</c:v>
                </c:pt>
                <c:pt idx="13">
                  <c:v>113.17920997921009</c:v>
                </c:pt>
                <c:pt idx="14">
                  <c:v>118.65779625779638</c:v>
                </c:pt>
                <c:pt idx="15">
                  <c:v>127.30311850311861</c:v>
                </c:pt>
                <c:pt idx="16">
                  <c:v>125.77796257796268</c:v>
                </c:pt>
                <c:pt idx="17">
                  <c:v>128.07983367983377</c:v>
                </c:pt>
                <c:pt idx="18">
                  <c:v>131.84532224532231</c:v>
                </c:pt>
                <c:pt idx="19">
                  <c:v>138.31517671517682</c:v>
                </c:pt>
                <c:pt idx="20">
                  <c:v>156.84823284823298</c:v>
                </c:pt>
                <c:pt idx="21">
                  <c:v>162.24864864864884</c:v>
                </c:pt>
                <c:pt idx="22">
                  <c:v>182.27027027027049</c:v>
                </c:pt>
                <c:pt idx="23">
                  <c:v>184.32099792099805</c:v>
                </c:pt>
                <c:pt idx="24">
                  <c:v>191.78045738045748</c:v>
                </c:pt>
                <c:pt idx="25">
                  <c:v>170.97214137214149</c:v>
                </c:pt>
                <c:pt idx="26">
                  <c:v>157.55675675675693</c:v>
                </c:pt>
                <c:pt idx="27">
                  <c:v>157.59667359667378</c:v>
                </c:pt>
                <c:pt idx="28">
                  <c:v>157.0694386694388</c:v>
                </c:pt>
                <c:pt idx="29">
                  <c:v>161.20249480249487</c:v>
                </c:pt>
                <c:pt idx="30">
                  <c:v>165.4436590436591</c:v>
                </c:pt>
                <c:pt idx="31">
                  <c:v>149.94927234927238</c:v>
                </c:pt>
                <c:pt idx="32">
                  <c:v>148.82162162162149</c:v>
                </c:pt>
                <c:pt idx="33">
                  <c:v>142.20207900207885</c:v>
                </c:pt>
                <c:pt idx="34">
                  <c:v>144.04324324324301</c:v>
                </c:pt>
                <c:pt idx="35">
                  <c:v>150.51642411642391</c:v>
                </c:pt>
                <c:pt idx="36">
                  <c:v>149.7097713097711</c:v>
                </c:pt>
                <c:pt idx="37">
                  <c:v>145.03617463617442</c:v>
                </c:pt>
              </c:numCache>
            </c:numRef>
          </c:val>
          <c:smooth val="0"/>
          <c:extLst>
            <c:ext xmlns:c16="http://schemas.microsoft.com/office/drawing/2014/chart" uri="{C3380CC4-5D6E-409C-BE32-E72D297353CC}">
              <c16:uniqueId val="{00000000-DBF0-42C1-82FC-FBFA405D357E}"/>
            </c:ext>
          </c:extLst>
        </c:ser>
        <c:ser>
          <c:idx val="4"/>
          <c:order val="1"/>
          <c:tx>
            <c:strRef>
              <c:f>Charts!$AJ$4</c:f>
              <c:strCache>
                <c:ptCount val="1"/>
                <c:pt idx="0">
                  <c:v>VNAllshare</c:v>
                </c:pt>
              </c:strCache>
            </c:strRef>
          </c:tx>
          <c:spPr>
            <a:ln w="19050"/>
          </c:spPr>
          <c:marker>
            <c:symbol val="none"/>
          </c:marker>
          <c:cat>
            <c:numRef>
              <c:f>Charts!$AE$5:$AE$42</c:f>
              <c:numCache>
                <c:formatCode>dd/mm/yyyy</c:formatCode>
                <c:ptCount val="38"/>
                <c:pt idx="0">
                  <c:v>42489</c:v>
                </c:pt>
                <c:pt idx="1">
                  <c:v>42489</c:v>
                </c:pt>
                <c:pt idx="2">
                  <c:v>42521</c:v>
                </c:pt>
                <c:pt idx="3">
                  <c:v>42551</c:v>
                </c:pt>
                <c:pt idx="4">
                  <c:v>42580</c:v>
                </c:pt>
                <c:pt idx="5">
                  <c:v>42613</c:v>
                </c:pt>
                <c:pt idx="6">
                  <c:v>42643</c:v>
                </c:pt>
                <c:pt idx="7">
                  <c:v>42674</c:v>
                </c:pt>
                <c:pt idx="8">
                  <c:v>42704</c:v>
                </c:pt>
                <c:pt idx="9">
                  <c:v>42734</c:v>
                </c:pt>
                <c:pt idx="10">
                  <c:v>42760</c:v>
                </c:pt>
                <c:pt idx="11">
                  <c:v>42794</c:v>
                </c:pt>
                <c:pt idx="12">
                  <c:v>42825</c:v>
                </c:pt>
                <c:pt idx="13">
                  <c:v>42853</c:v>
                </c:pt>
                <c:pt idx="14">
                  <c:v>42886</c:v>
                </c:pt>
                <c:pt idx="15">
                  <c:v>42916</c:v>
                </c:pt>
                <c:pt idx="16">
                  <c:v>42947</c:v>
                </c:pt>
                <c:pt idx="17">
                  <c:v>42978</c:v>
                </c:pt>
                <c:pt idx="18">
                  <c:v>43007</c:v>
                </c:pt>
                <c:pt idx="19">
                  <c:v>43039</c:v>
                </c:pt>
                <c:pt idx="20">
                  <c:v>43069</c:v>
                </c:pt>
                <c:pt idx="21">
                  <c:v>43098</c:v>
                </c:pt>
                <c:pt idx="22">
                  <c:v>43131</c:v>
                </c:pt>
                <c:pt idx="23">
                  <c:v>43159</c:v>
                </c:pt>
                <c:pt idx="24">
                  <c:v>43189</c:v>
                </c:pt>
                <c:pt idx="25">
                  <c:v>43217</c:v>
                </c:pt>
                <c:pt idx="26">
                  <c:v>43251</c:v>
                </c:pt>
                <c:pt idx="27">
                  <c:v>43280</c:v>
                </c:pt>
                <c:pt idx="28">
                  <c:v>43312</c:v>
                </c:pt>
                <c:pt idx="29">
                  <c:v>43343</c:v>
                </c:pt>
                <c:pt idx="30">
                  <c:v>43371</c:v>
                </c:pt>
                <c:pt idx="31">
                  <c:v>43404</c:v>
                </c:pt>
                <c:pt idx="32">
                  <c:v>43434</c:v>
                </c:pt>
                <c:pt idx="33">
                  <c:v>43462</c:v>
                </c:pt>
                <c:pt idx="34">
                  <c:v>43496</c:v>
                </c:pt>
                <c:pt idx="35">
                  <c:v>43524</c:v>
                </c:pt>
                <c:pt idx="36">
                  <c:v>43553</c:v>
                </c:pt>
                <c:pt idx="37">
                  <c:v>43494</c:v>
                </c:pt>
              </c:numCache>
            </c:numRef>
          </c:cat>
          <c:val>
            <c:numRef>
              <c:f>Charts!$AJ$5:$AJ$42</c:f>
              <c:numCache>
                <c:formatCode>0.00</c:formatCode>
                <c:ptCount val="38"/>
                <c:pt idx="0">
                  <c:v>100</c:v>
                </c:pt>
                <c:pt idx="1">
                  <c:v>100</c:v>
                </c:pt>
                <c:pt idx="2">
                  <c:v>102.37369848337742</c:v>
                </c:pt>
                <c:pt idx="3">
                  <c:v>105.99283538116444</c:v>
                </c:pt>
                <c:pt idx="4">
                  <c:v>108.42679701362617</c:v>
                </c:pt>
                <c:pt idx="5">
                  <c:v>111.05828785697554</c:v>
                </c:pt>
                <c:pt idx="6">
                  <c:v>112.40081690046544</c:v>
                </c:pt>
                <c:pt idx="7">
                  <c:v>108.68124142087122</c:v>
                </c:pt>
                <c:pt idx="8">
                  <c:v>106.01794502661635</c:v>
                </c:pt>
                <c:pt idx="9">
                  <c:v>104.32053299407423</c:v>
                </c:pt>
                <c:pt idx="10">
                  <c:v>106.77290836653395</c:v>
                </c:pt>
                <c:pt idx="11">
                  <c:v>110.48746191703775</c:v>
                </c:pt>
                <c:pt idx="12">
                  <c:v>115.57467608557374</c:v>
                </c:pt>
                <c:pt idx="13">
                  <c:v>115.00719809836298</c:v>
                </c:pt>
                <c:pt idx="14">
                  <c:v>120.59660517593501</c:v>
                </c:pt>
                <c:pt idx="15">
                  <c:v>128.74719608959137</c:v>
                </c:pt>
                <c:pt idx="16">
                  <c:v>127.97884093876604</c:v>
                </c:pt>
                <c:pt idx="17">
                  <c:v>128.46931601325795</c:v>
                </c:pt>
                <c:pt idx="18">
                  <c:v>131.48749539656504</c:v>
                </c:pt>
                <c:pt idx="19">
                  <c:v>134.14074793263924</c:v>
                </c:pt>
                <c:pt idx="20">
                  <c:v>150.97258026716668</c:v>
                </c:pt>
                <c:pt idx="21">
                  <c:v>155.70825939937731</c:v>
                </c:pt>
                <c:pt idx="22">
                  <c:v>171.61605678127836</c:v>
                </c:pt>
                <c:pt idx="23">
                  <c:v>171.47879071947514</c:v>
                </c:pt>
                <c:pt idx="24">
                  <c:v>179.27449864407916</c:v>
                </c:pt>
                <c:pt idx="25">
                  <c:v>162.59332418226251</c:v>
                </c:pt>
                <c:pt idx="26">
                  <c:v>150.15065787271078</c:v>
                </c:pt>
                <c:pt idx="27">
                  <c:v>149.52291673641565</c:v>
                </c:pt>
                <c:pt idx="28">
                  <c:v>150.26616224178923</c:v>
                </c:pt>
                <c:pt idx="29">
                  <c:v>153.52874217416053</c:v>
                </c:pt>
                <c:pt idx="30">
                  <c:v>158.14222103183911</c:v>
                </c:pt>
                <c:pt idx="31">
                  <c:v>143.05132411530352</c:v>
                </c:pt>
                <c:pt idx="32">
                  <c:v>142.80190163714889</c:v>
                </c:pt>
                <c:pt idx="33">
                  <c:v>136.99655160869125</c:v>
                </c:pt>
                <c:pt idx="34">
                  <c:v>139.29157320298637</c:v>
                </c:pt>
                <c:pt idx="35">
                  <c:v>147.03036593123301</c:v>
                </c:pt>
                <c:pt idx="36">
                  <c:v>146.89142589306638</c:v>
                </c:pt>
                <c:pt idx="37">
                  <c:v>139.96953363018514</c:v>
                </c:pt>
              </c:numCache>
            </c:numRef>
          </c:val>
          <c:smooth val="0"/>
          <c:extLst>
            <c:ext xmlns:c16="http://schemas.microsoft.com/office/drawing/2014/chart" uri="{C3380CC4-5D6E-409C-BE32-E72D297353CC}">
              <c16:uniqueId val="{00000001-DBF0-42C1-82FC-FBFA405D357E}"/>
            </c:ext>
          </c:extLst>
        </c:ser>
        <c:ser>
          <c:idx val="5"/>
          <c:order val="2"/>
          <c:tx>
            <c:strRef>
              <c:f>Charts!$AK$4</c:f>
              <c:strCache>
                <c:ptCount val="1"/>
                <c:pt idx="0">
                  <c:v>VN Index</c:v>
                </c:pt>
              </c:strCache>
            </c:strRef>
          </c:tx>
          <c:spPr>
            <a:ln w="19050"/>
          </c:spPr>
          <c:marker>
            <c:symbol val="none"/>
          </c:marker>
          <c:cat>
            <c:numRef>
              <c:f>Charts!$AE$5:$AE$42</c:f>
              <c:numCache>
                <c:formatCode>dd/mm/yyyy</c:formatCode>
                <c:ptCount val="38"/>
                <c:pt idx="0">
                  <c:v>42489</c:v>
                </c:pt>
                <c:pt idx="1">
                  <c:v>42489</c:v>
                </c:pt>
                <c:pt idx="2">
                  <c:v>42521</c:v>
                </c:pt>
                <c:pt idx="3">
                  <c:v>42551</c:v>
                </c:pt>
                <c:pt idx="4">
                  <c:v>42580</c:v>
                </c:pt>
                <c:pt idx="5">
                  <c:v>42613</c:v>
                </c:pt>
                <c:pt idx="6">
                  <c:v>42643</c:v>
                </c:pt>
                <c:pt idx="7">
                  <c:v>42674</c:v>
                </c:pt>
                <c:pt idx="8">
                  <c:v>42704</c:v>
                </c:pt>
                <c:pt idx="9">
                  <c:v>42734</c:v>
                </c:pt>
                <c:pt idx="10">
                  <c:v>42760</c:v>
                </c:pt>
                <c:pt idx="11">
                  <c:v>42794</c:v>
                </c:pt>
                <c:pt idx="12">
                  <c:v>42825</c:v>
                </c:pt>
                <c:pt idx="13">
                  <c:v>42853</c:v>
                </c:pt>
                <c:pt idx="14">
                  <c:v>42886</c:v>
                </c:pt>
                <c:pt idx="15">
                  <c:v>42916</c:v>
                </c:pt>
                <c:pt idx="16">
                  <c:v>42947</c:v>
                </c:pt>
                <c:pt idx="17">
                  <c:v>42978</c:v>
                </c:pt>
                <c:pt idx="18">
                  <c:v>43007</c:v>
                </c:pt>
                <c:pt idx="19">
                  <c:v>43039</c:v>
                </c:pt>
                <c:pt idx="20">
                  <c:v>43069</c:v>
                </c:pt>
                <c:pt idx="21">
                  <c:v>43098</c:v>
                </c:pt>
                <c:pt idx="22">
                  <c:v>43131</c:v>
                </c:pt>
                <c:pt idx="23">
                  <c:v>43159</c:v>
                </c:pt>
                <c:pt idx="24">
                  <c:v>43189</c:v>
                </c:pt>
                <c:pt idx="25">
                  <c:v>43217</c:v>
                </c:pt>
                <c:pt idx="26">
                  <c:v>43251</c:v>
                </c:pt>
                <c:pt idx="27">
                  <c:v>43280</c:v>
                </c:pt>
                <c:pt idx="28">
                  <c:v>43312</c:v>
                </c:pt>
                <c:pt idx="29">
                  <c:v>43343</c:v>
                </c:pt>
                <c:pt idx="30">
                  <c:v>43371</c:v>
                </c:pt>
                <c:pt idx="31">
                  <c:v>43404</c:v>
                </c:pt>
                <c:pt idx="32">
                  <c:v>43434</c:v>
                </c:pt>
                <c:pt idx="33">
                  <c:v>43462</c:v>
                </c:pt>
                <c:pt idx="34">
                  <c:v>43496</c:v>
                </c:pt>
                <c:pt idx="35">
                  <c:v>43524</c:v>
                </c:pt>
                <c:pt idx="36">
                  <c:v>43553</c:v>
                </c:pt>
                <c:pt idx="37">
                  <c:v>43494</c:v>
                </c:pt>
              </c:numCache>
            </c:numRef>
          </c:cat>
          <c:val>
            <c:numRef>
              <c:f>Charts!$AK$5:$AK$42</c:f>
              <c:numCache>
                <c:formatCode>0.00</c:formatCode>
                <c:ptCount val="38"/>
                <c:pt idx="0">
                  <c:v>100</c:v>
                </c:pt>
                <c:pt idx="1">
                  <c:v>100</c:v>
                </c:pt>
                <c:pt idx="2">
                  <c:v>103.35411200427833</c:v>
                </c:pt>
                <c:pt idx="3">
                  <c:v>105.6637197720474</c:v>
                </c:pt>
                <c:pt idx="4">
                  <c:v>109.00111970854152</c:v>
                </c:pt>
                <c:pt idx="5">
                  <c:v>112.74462289219043</c:v>
                </c:pt>
                <c:pt idx="6">
                  <c:v>114.59966241623073</c:v>
                </c:pt>
                <c:pt idx="7">
                  <c:v>112.94015408526491</c:v>
                </c:pt>
                <c:pt idx="8">
                  <c:v>111.14694921202596</c:v>
                </c:pt>
                <c:pt idx="9">
                  <c:v>111.11352507645768</c:v>
                </c:pt>
                <c:pt idx="10">
                  <c:v>116.52990624529973</c:v>
                </c:pt>
                <c:pt idx="11">
                  <c:v>118.78770660293794</c:v>
                </c:pt>
                <c:pt idx="12">
                  <c:v>120.71293681167171</c:v>
                </c:pt>
                <c:pt idx="13">
                  <c:v>119.94752410715779</c:v>
                </c:pt>
                <c:pt idx="14">
                  <c:v>123.30497852499288</c:v>
                </c:pt>
                <c:pt idx="15">
                  <c:v>129.76419272356557</c:v>
                </c:pt>
                <c:pt idx="16">
                  <c:v>130.94740712268322</c:v>
                </c:pt>
                <c:pt idx="17">
                  <c:v>130.81538178718839</c:v>
                </c:pt>
                <c:pt idx="18">
                  <c:v>134.43521566923468</c:v>
                </c:pt>
                <c:pt idx="19">
                  <c:v>139.92680114310542</c:v>
                </c:pt>
                <c:pt idx="20">
                  <c:v>158.75294550194695</c:v>
                </c:pt>
                <c:pt idx="21">
                  <c:v>164.48685595868781</c:v>
                </c:pt>
                <c:pt idx="22">
                  <c:v>185.56411584805394</c:v>
                </c:pt>
                <c:pt idx="23">
                  <c:v>187.43252502632166</c:v>
                </c:pt>
                <c:pt idx="24">
                  <c:v>196.27655129769221</c:v>
                </c:pt>
                <c:pt idx="25">
                  <c:v>175.52016310978169</c:v>
                </c:pt>
                <c:pt idx="26">
                  <c:v>162.31595835352726</c:v>
                </c:pt>
                <c:pt idx="27">
                  <c:v>160.56620485652701</c:v>
                </c:pt>
                <c:pt idx="28">
                  <c:v>159.83254508080287</c:v>
                </c:pt>
                <c:pt idx="29">
                  <c:v>165.37259555124757</c:v>
                </c:pt>
                <c:pt idx="30">
                  <c:v>169.98345505289385</c:v>
                </c:pt>
                <c:pt idx="31">
                  <c:v>152.87531126226258</c:v>
                </c:pt>
                <c:pt idx="32">
                  <c:v>154.84399284723503</c:v>
                </c:pt>
                <c:pt idx="33">
                  <c:v>149.16188980062506</c:v>
                </c:pt>
                <c:pt idx="34">
                  <c:v>152.18844527633414</c:v>
                </c:pt>
                <c:pt idx="35">
                  <c:v>161.35000083560357</c:v>
                </c:pt>
                <c:pt idx="36">
                  <c:v>163.90527599979961</c:v>
                </c:pt>
                <c:pt idx="37">
                  <c:v>153.0708424553371</c:v>
                </c:pt>
              </c:numCache>
            </c:numRef>
          </c:val>
          <c:smooth val="0"/>
          <c:extLst>
            <c:ext xmlns:c16="http://schemas.microsoft.com/office/drawing/2014/chart" uri="{C3380CC4-5D6E-409C-BE32-E72D297353CC}">
              <c16:uniqueId val="{00000002-DBF0-42C1-82FC-FBFA405D357E}"/>
            </c:ext>
          </c:extLst>
        </c:ser>
        <c:dLbls>
          <c:showLegendKey val="0"/>
          <c:showVal val="0"/>
          <c:showCatName val="0"/>
          <c:showSerName val="0"/>
          <c:showPercent val="0"/>
          <c:showBubbleSize val="0"/>
        </c:dLbls>
        <c:smooth val="0"/>
        <c:axId val="119650176"/>
        <c:axId val="119651712"/>
      </c:lineChart>
      <c:dateAx>
        <c:axId val="119650176"/>
        <c:scaling>
          <c:orientation val="minMax"/>
        </c:scaling>
        <c:delete val="0"/>
        <c:axPos val="b"/>
        <c:numFmt formatCode="dd/mm/yyyy" sourceLinked="1"/>
        <c:majorTickMark val="out"/>
        <c:minorTickMark val="none"/>
        <c:tickLblPos val="nextTo"/>
        <c:txPr>
          <a:bodyPr/>
          <a:lstStyle/>
          <a:p>
            <a:pPr>
              <a:defRPr sz="700">
                <a:latin typeface="Times New Roman" pitchFamily="18" charset="0"/>
                <a:cs typeface="Times New Roman" pitchFamily="18" charset="0"/>
              </a:defRPr>
            </a:pPr>
            <a:endParaRPr lang="en-US"/>
          </a:p>
        </c:txPr>
        <c:crossAx val="119651712"/>
        <c:crosses val="autoZero"/>
        <c:auto val="1"/>
        <c:lblOffset val="100"/>
        <c:baseTimeUnit val="days"/>
        <c:majorUnit val="1"/>
        <c:majorTimeUnit val="years"/>
        <c:minorUnit val="1"/>
        <c:minorTimeUnit val="years"/>
      </c:dateAx>
      <c:valAx>
        <c:axId val="119651712"/>
        <c:scaling>
          <c:orientation val="minMax"/>
          <c:min val="80"/>
        </c:scaling>
        <c:delete val="0"/>
        <c:axPos val="l"/>
        <c:numFmt formatCode="0" sourceLinked="0"/>
        <c:majorTickMark val="out"/>
        <c:minorTickMark val="none"/>
        <c:tickLblPos val="nextTo"/>
        <c:txPr>
          <a:bodyPr/>
          <a:lstStyle/>
          <a:p>
            <a:pPr>
              <a:defRPr sz="700">
                <a:latin typeface="Times New Roman" pitchFamily="18" charset="0"/>
                <a:cs typeface="Times New Roman" pitchFamily="18" charset="0"/>
              </a:defRPr>
            </a:pPr>
            <a:endParaRPr lang="en-US"/>
          </a:p>
        </c:txPr>
        <c:crossAx val="119650176"/>
        <c:crosses val="autoZero"/>
        <c:crossBetween val="between"/>
      </c:valAx>
    </c:plotArea>
    <c:legend>
      <c:legendPos val="r"/>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Sector_Eng!$AF$4:$AF$9</c:f>
              <c:strCache>
                <c:ptCount val="6"/>
                <c:pt idx="0">
                  <c:v>Real Estate</c:v>
                </c:pt>
                <c:pt idx="1">
                  <c:v>Financials</c:v>
                </c:pt>
                <c:pt idx="2">
                  <c:v>Consumer Staples</c:v>
                </c:pt>
                <c:pt idx="3">
                  <c:v>Industrials</c:v>
                </c:pt>
                <c:pt idx="4">
                  <c:v>Materials</c:v>
                </c:pt>
                <c:pt idx="5">
                  <c:v>Others</c:v>
                </c:pt>
              </c:strCache>
            </c:strRef>
          </c:cat>
          <c:val>
            <c:numRef>
              <c:f>Sector_Eng!$AE$4:$AE$9</c:f>
              <c:numCache>
                <c:formatCode>0.00%</c:formatCode>
                <c:ptCount val="6"/>
                <c:pt idx="0">
                  <c:v>0.29656674622346724</c:v>
                </c:pt>
                <c:pt idx="1">
                  <c:v>0.25766909661812504</c:v>
                </c:pt>
                <c:pt idx="2">
                  <c:v>0.22747004836813653</c:v>
                </c:pt>
                <c:pt idx="3">
                  <c:v>7.0733291160206921E-2</c:v>
                </c:pt>
                <c:pt idx="4">
                  <c:v>5.5723386520856913E-2</c:v>
                </c:pt>
                <c:pt idx="5">
                  <c:v>9.1837431109207279E-2</c:v>
                </c:pt>
              </c:numCache>
            </c:numRef>
          </c:val>
          <c:extLst>
            <c:ext xmlns:c16="http://schemas.microsoft.com/office/drawing/2014/chart" uri="{C3380CC4-5D6E-409C-BE32-E72D297353CC}">
              <c16:uniqueId val="{00000000-7875-40E0-8801-7FE57549C524}"/>
            </c:ext>
          </c:extLst>
        </c:ser>
        <c:dLbls>
          <c:showLegendKey val="0"/>
          <c:showVal val="1"/>
          <c:showCatName val="1"/>
          <c:showSerName val="0"/>
          <c:showPercent val="0"/>
          <c:showBubbleSize val="0"/>
          <c:showLeaderLines val="1"/>
        </c:dLbls>
        <c:firstSliceAng val="0"/>
      </c:pieChart>
    </c:plotArea>
    <c:plotVisOnly val="1"/>
    <c:dispBlanksAs val="zero"/>
    <c:showDLblsOverMax val="0"/>
  </c:chart>
  <c:spPr>
    <a:ln>
      <a:noFill/>
    </a:ln>
  </c:spPr>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Charts!$AE$2</c:f>
          <c:strCache>
            <c:ptCount val="1"/>
            <c:pt idx="0">
              <c:v>Indices performance from 29/04/2016 to 26/04/2019</c:v>
            </c:pt>
          </c:strCache>
        </c:strRef>
      </c:tx>
      <c:overlay val="0"/>
      <c:txPr>
        <a:bodyPr/>
        <a:lstStyle/>
        <a:p>
          <a:pPr>
            <a:defRPr sz="900">
              <a:latin typeface="Times New Roman" pitchFamily="18" charset="0"/>
              <a:cs typeface="Times New Roman" pitchFamily="18" charset="0"/>
            </a:defRPr>
          </a:pPr>
          <a:endParaRPr lang="en-US"/>
        </a:p>
      </c:txPr>
    </c:title>
    <c:autoTitleDeleted val="0"/>
    <c:plotArea>
      <c:layout>
        <c:manualLayout>
          <c:layoutTarget val="inner"/>
          <c:xMode val="edge"/>
          <c:yMode val="edge"/>
          <c:x val="6.8272188636928299E-2"/>
          <c:y val="0.26336049749713836"/>
          <c:w val="0.67700225240152911"/>
          <c:h val="0.55690021013788527"/>
        </c:manualLayout>
      </c:layout>
      <c:lineChart>
        <c:grouping val="standard"/>
        <c:varyColors val="0"/>
        <c:ser>
          <c:idx val="1"/>
          <c:order val="0"/>
          <c:tx>
            <c:strRef>
              <c:f>Charts!$AG$4</c:f>
              <c:strCache>
                <c:ptCount val="1"/>
                <c:pt idx="0">
                  <c:v>VNMidcap</c:v>
                </c:pt>
              </c:strCache>
            </c:strRef>
          </c:tx>
          <c:spPr>
            <a:ln w="19050"/>
          </c:spPr>
          <c:marker>
            <c:symbol val="none"/>
          </c:marker>
          <c:cat>
            <c:numRef>
              <c:f>Charts!$AE$5:$AE$42</c:f>
              <c:numCache>
                <c:formatCode>dd/mm/yyyy</c:formatCode>
                <c:ptCount val="38"/>
                <c:pt idx="0">
                  <c:v>42489</c:v>
                </c:pt>
                <c:pt idx="1">
                  <c:v>42489</c:v>
                </c:pt>
                <c:pt idx="2">
                  <c:v>42521</c:v>
                </c:pt>
                <c:pt idx="3">
                  <c:v>42551</c:v>
                </c:pt>
                <c:pt idx="4">
                  <c:v>42580</c:v>
                </c:pt>
                <c:pt idx="5">
                  <c:v>42613</c:v>
                </c:pt>
                <c:pt idx="6">
                  <c:v>42643</c:v>
                </c:pt>
                <c:pt idx="7">
                  <c:v>42674</c:v>
                </c:pt>
                <c:pt idx="8">
                  <c:v>42704</c:v>
                </c:pt>
                <c:pt idx="9">
                  <c:v>42734</c:v>
                </c:pt>
                <c:pt idx="10">
                  <c:v>42760</c:v>
                </c:pt>
                <c:pt idx="11">
                  <c:v>42794</c:v>
                </c:pt>
                <c:pt idx="12">
                  <c:v>42825</c:v>
                </c:pt>
                <c:pt idx="13">
                  <c:v>42853</c:v>
                </c:pt>
                <c:pt idx="14">
                  <c:v>42886</c:v>
                </c:pt>
                <c:pt idx="15">
                  <c:v>42916</c:v>
                </c:pt>
                <c:pt idx="16">
                  <c:v>42947</c:v>
                </c:pt>
                <c:pt idx="17">
                  <c:v>42978</c:v>
                </c:pt>
                <c:pt idx="18">
                  <c:v>43007</c:v>
                </c:pt>
                <c:pt idx="19">
                  <c:v>43039</c:v>
                </c:pt>
                <c:pt idx="20">
                  <c:v>43069</c:v>
                </c:pt>
                <c:pt idx="21">
                  <c:v>43098</c:v>
                </c:pt>
                <c:pt idx="22">
                  <c:v>43131</c:v>
                </c:pt>
                <c:pt idx="23">
                  <c:v>43159</c:v>
                </c:pt>
                <c:pt idx="24">
                  <c:v>43189</c:v>
                </c:pt>
                <c:pt idx="25">
                  <c:v>43217</c:v>
                </c:pt>
                <c:pt idx="26">
                  <c:v>43251</c:v>
                </c:pt>
                <c:pt idx="27">
                  <c:v>43280</c:v>
                </c:pt>
                <c:pt idx="28">
                  <c:v>43312</c:v>
                </c:pt>
                <c:pt idx="29">
                  <c:v>43343</c:v>
                </c:pt>
                <c:pt idx="30">
                  <c:v>43371</c:v>
                </c:pt>
                <c:pt idx="31">
                  <c:v>43404</c:v>
                </c:pt>
                <c:pt idx="32">
                  <c:v>43434</c:v>
                </c:pt>
                <c:pt idx="33">
                  <c:v>43462</c:v>
                </c:pt>
                <c:pt idx="34">
                  <c:v>43496</c:v>
                </c:pt>
                <c:pt idx="35">
                  <c:v>43524</c:v>
                </c:pt>
                <c:pt idx="36">
                  <c:v>43553</c:v>
                </c:pt>
                <c:pt idx="37">
                  <c:v>43494</c:v>
                </c:pt>
              </c:numCache>
            </c:numRef>
          </c:cat>
          <c:val>
            <c:numRef>
              <c:f>Charts!$AG$5:$AG$42</c:f>
              <c:numCache>
                <c:formatCode>0.00</c:formatCode>
                <c:ptCount val="38"/>
                <c:pt idx="0">
                  <c:v>100</c:v>
                </c:pt>
                <c:pt idx="1">
                  <c:v>100</c:v>
                </c:pt>
                <c:pt idx="2">
                  <c:v>102.83361778078874</c:v>
                </c:pt>
                <c:pt idx="3">
                  <c:v>112.38714384355823</c:v>
                </c:pt>
                <c:pt idx="4">
                  <c:v>113.18185963495185</c:v>
                </c:pt>
                <c:pt idx="5">
                  <c:v>112.85355081621213</c:v>
                </c:pt>
                <c:pt idx="6">
                  <c:v>115.69498547363749</c:v>
                </c:pt>
                <c:pt idx="7">
                  <c:v>111.48429459202414</c:v>
                </c:pt>
                <c:pt idx="8">
                  <c:v>106.62871138788641</c:v>
                </c:pt>
                <c:pt idx="9">
                  <c:v>104.33706372057269</c:v>
                </c:pt>
                <c:pt idx="10">
                  <c:v>107.15244212254254</c:v>
                </c:pt>
                <c:pt idx="11">
                  <c:v>113.94791354534442</c:v>
                </c:pt>
                <c:pt idx="12">
                  <c:v>119.22691090063452</c:v>
                </c:pt>
                <c:pt idx="13">
                  <c:v>122.84482197063467</c:v>
                </c:pt>
                <c:pt idx="14">
                  <c:v>130.63433953906488</c:v>
                </c:pt>
                <c:pt idx="15">
                  <c:v>139.0361791107</c:v>
                </c:pt>
                <c:pt idx="16">
                  <c:v>138.56065244863652</c:v>
                </c:pt>
                <c:pt idx="17">
                  <c:v>134.39556001407021</c:v>
                </c:pt>
                <c:pt idx="18">
                  <c:v>135.73485154448437</c:v>
                </c:pt>
                <c:pt idx="19">
                  <c:v>126.71026746746206</c:v>
                </c:pt>
                <c:pt idx="20">
                  <c:v>137.5926625584635</c:v>
                </c:pt>
                <c:pt idx="21">
                  <c:v>138.88375001628492</c:v>
                </c:pt>
                <c:pt idx="22">
                  <c:v>148.2705160441391</c:v>
                </c:pt>
                <c:pt idx="23">
                  <c:v>141.6782834138904</c:v>
                </c:pt>
                <c:pt idx="24">
                  <c:v>149.77396198392304</c:v>
                </c:pt>
                <c:pt idx="25">
                  <c:v>139.32149510793784</c:v>
                </c:pt>
                <c:pt idx="26">
                  <c:v>129.24032987219394</c:v>
                </c:pt>
                <c:pt idx="27">
                  <c:v>123.8388681162629</c:v>
                </c:pt>
                <c:pt idx="28">
                  <c:v>130.00898940813198</c:v>
                </c:pt>
                <c:pt idx="29">
                  <c:v>133.85098427504974</c:v>
                </c:pt>
                <c:pt idx="30">
                  <c:v>139.85173990645796</c:v>
                </c:pt>
                <c:pt idx="31">
                  <c:v>123.51055929752323</c:v>
                </c:pt>
                <c:pt idx="32">
                  <c:v>123.33077113488011</c:v>
                </c:pt>
                <c:pt idx="33">
                  <c:v>121.13422879997908</c:v>
                </c:pt>
                <c:pt idx="34">
                  <c:v>122.16475370324534</c:v>
                </c:pt>
                <c:pt idx="35">
                  <c:v>131.04602837526227</c:v>
                </c:pt>
                <c:pt idx="36">
                  <c:v>129.4188152220645</c:v>
                </c:pt>
                <c:pt idx="37">
                  <c:v>121.9836627278294</c:v>
                </c:pt>
              </c:numCache>
            </c:numRef>
          </c:val>
          <c:smooth val="0"/>
          <c:extLst>
            <c:ext xmlns:c16="http://schemas.microsoft.com/office/drawing/2014/chart" uri="{C3380CC4-5D6E-409C-BE32-E72D297353CC}">
              <c16:uniqueId val="{00000000-5CF9-467D-AD19-819745528C01}"/>
            </c:ext>
          </c:extLst>
        </c:ser>
        <c:ser>
          <c:idx val="4"/>
          <c:order val="1"/>
          <c:tx>
            <c:strRef>
              <c:f>Charts!$AJ$4</c:f>
              <c:strCache>
                <c:ptCount val="1"/>
                <c:pt idx="0">
                  <c:v>VNAllshare</c:v>
                </c:pt>
              </c:strCache>
            </c:strRef>
          </c:tx>
          <c:spPr>
            <a:ln w="19050"/>
          </c:spPr>
          <c:marker>
            <c:symbol val="none"/>
          </c:marker>
          <c:cat>
            <c:numRef>
              <c:f>Charts!$AE$5:$AE$42</c:f>
              <c:numCache>
                <c:formatCode>dd/mm/yyyy</c:formatCode>
                <c:ptCount val="38"/>
                <c:pt idx="0">
                  <c:v>42489</c:v>
                </c:pt>
                <c:pt idx="1">
                  <c:v>42489</c:v>
                </c:pt>
                <c:pt idx="2">
                  <c:v>42521</c:v>
                </c:pt>
                <c:pt idx="3">
                  <c:v>42551</c:v>
                </c:pt>
                <c:pt idx="4">
                  <c:v>42580</c:v>
                </c:pt>
                <c:pt idx="5">
                  <c:v>42613</c:v>
                </c:pt>
                <c:pt idx="6">
                  <c:v>42643</c:v>
                </c:pt>
                <c:pt idx="7">
                  <c:v>42674</c:v>
                </c:pt>
                <c:pt idx="8">
                  <c:v>42704</c:v>
                </c:pt>
                <c:pt idx="9">
                  <c:v>42734</c:v>
                </c:pt>
                <c:pt idx="10">
                  <c:v>42760</c:v>
                </c:pt>
                <c:pt idx="11">
                  <c:v>42794</c:v>
                </c:pt>
                <c:pt idx="12">
                  <c:v>42825</c:v>
                </c:pt>
                <c:pt idx="13">
                  <c:v>42853</c:v>
                </c:pt>
                <c:pt idx="14">
                  <c:v>42886</c:v>
                </c:pt>
                <c:pt idx="15">
                  <c:v>42916</c:v>
                </c:pt>
                <c:pt idx="16">
                  <c:v>42947</c:v>
                </c:pt>
                <c:pt idx="17">
                  <c:v>42978</c:v>
                </c:pt>
                <c:pt idx="18">
                  <c:v>43007</c:v>
                </c:pt>
                <c:pt idx="19">
                  <c:v>43039</c:v>
                </c:pt>
                <c:pt idx="20">
                  <c:v>43069</c:v>
                </c:pt>
                <c:pt idx="21">
                  <c:v>43098</c:v>
                </c:pt>
                <c:pt idx="22">
                  <c:v>43131</c:v>
                </c:pt>
                <c:pt idx="23">
                  <c:v>43159</c:v>
                </c:pt>
                <c:pt idx="24">
                  <c:v>43189</c:v>
                </c:pt>
                <c:pt idx="25">
                  <c:v>43217</c:v>
                </c:pt>
                <c:pt idx="26">
                  <c:v>43251</c:v>
                </c:pt>
                <c:pt idx="27">
                  <c:v>43280</c:v>
                </c:pt>
                <c:pt idx="28">
                  <c:v>43312</c:v>
                </c:pt>
                <c:pt idx="29">
                  <c:v>43343</c:v>
                </c:pt>
                <c:pt idx="30">
                  <c:v>43371</c:v>
                </c:pt>
                <c:pt idx="31">
                  <c:v>43404</c:v>
                </c:pt>
                <c:pt idx="32">
                  <c:v>43434</c:v>
                </c:pt>
                <c:pt idx="33">
                  <c:v>43462</c:v>
                </c:pt>
                <c:pt idx="34">
                  <c:v>43496</c:v>
                </c:pt>
                <c:pt idx="35">
                  <c:v>43524</c:v>
                </c:pt>
                <c:pt idx="36">
                  <c:v>43553</c:v>
                </c:pt>
                <c:pt idx="37">
                  <c:v>43494</c:v>
                </c:pt>
              </c:numCache>
            </c:numRef>
          </c:cat>
          <c:val>
            <c:numRef>
              <c:f>Charts!$AJ$5:$AJ$42</c:f>
              <c:numCache>
                <c:formatCode>0.00</c:formatCode>
                <c:ptCount val="38"/>
                <c:pt idx="0">
                  <c:v>100</c:v>
                </c:pt>
                <c:pt idx="1">
                  <c:v>100</c:v>
                </c:pt>
                <c:pt idx="2">
                  <c:v>102.37369848337742</c:v>
                </c:pt>
                <c:pt idx="3">
                  <c:v>105.99283538116444</c:v>
                </c:pt>
                <c:pt idx="4">
                  <c:v>108.42679701362617</c:v>
                </c:pt>
                <c:pt idx="5">
                  <c:v>111.05828785697554</c:v>
                </c:pt>
                <c:pt idx="6">
                  <c:v>112.40081690046544</c:v>
                </c:pt>
                <c:pt idx="7">
                  <c:v>108.68124142087122</c:v>
                </c:pt>
                <c:pt idx="8">
                  <c:v>106.01794502661635</c:v>
                </c:pt>
                <c:pt idx="9">
                  <c:v>104.32053299407423</c:v>
                </c:pt>
                <c:pt idx="10">
                  <c:v>106.77290836653395</c:v>
                </c:pt>
                <c:pt idx="11">
                  <c:v>110.48746191703775</c:v>
                </c:pt>
                <c:pt idx="12">
                  <c:v>115.57467608557374</c:v>
                </c:pt>
                <c:pt idx="13">
                  <c:v>115.00719809836298</c:v>
                </c:pt>
                <c:pt idx="14">
                  <c:v>120.59660517593501</c:v>
                </c:pt>
                <c:pt idx="15">
                  <c:v>128.74719608959137</c:v>
                </c:pt>
                <c:pt idx="16">
                  <c:v>127.97884093876604</c:v>
                </c:pt>
                <c:pt idx="17">
                  <c:v>128.46931601325795</c:v>
                </c:pt>
                <c:pt idx="18">
                  <c:v>131.48749539656504</c:v>
                </c:pt>
                <c:pt idx="19">
                  <c:v>134.14074793263924</c:v>
                </c:pt>
                <c:pt idx="20">
                  <c:v>150.97258026716668</c:v>
                </c:pt>
                <c:pt idx="21">
                  <c:v>155.70825939937731</c:v>
                </c:pt>
                <c:pt idx="22">
                  <c:v>171.61605678127836</c:v>
                </c:pt>
                <c:pt idx="23">
                  <c:v>171.47879071947514</c:v>
                </c:pt>
                <c:pt idx="24">
                  <c:v>179.27449864407916</c:v>
                </c:pt>
                <c:pt idx="25">
                  <c:v>162.59332418226251</c:v>
                </c:pt>
                <c:pt idx="26">
                  <c:v>150.15065787271078</c:v>
                </c:pt>
                <c:pt idx="27">
                  <c:v>149.52291673641565</c:v>
                </c:pt>
                <c:pt idx="28">
                  <c:v>150.26616224178923</c:v>
                </c:pt>
                <c:pt idx="29">
                  <c:v>153.52874217416053</c:v>
                </c:pt>
                <c:pt idx="30">
                  <c:v>158.14222103183911</c:v>
                </c:pt>
                <c:pt idx="31">
                  <c:v>143.05132411530352</c:v>
                </c:pt>
                <c:pt idx="32">
                  <c:v>142.80190163714889</c:v>
                </c:pt>
                <c:pt idx="33">
                  <c:v>136.99655160869125</c:v>
                </c:pt>
                <c:pt idx="34">
                  <c:v>139.29157320298637</c:v>
                </c:pt>
                <c:pt idx="35">
                  <c:v>147.03036593123301</c:v>
                </c:pt>
                <c:pt idx="36">
                  <c:v>146.89142589306638</c:v>
                </c:pt>
                <c:pt idx="37">
                  <c:v>139.96953363018514</c:v>
                </c:pt>
              </c:numCache>
            </c:numRef>
          </c:val>
          <c:smooth val="0"/>
          <c:extLst>
            <c:ext xmlns:c16="http://schemas.microsoft.com/office/drawing/2014/chart" uri="{C3380CC4-5D6E-409C-BE32-E72D297353CC}">
              <c16:uniqueId val="{00000001-5CF9-467D-AD19-819745528C01}"/>
            </c:ext>
          </c:extLst>
        </c:ser>
        <c:ser>
          <c:idx val="5"/>
          <c:order val="2"/>
          <c:tx>
            <c:strRef>
              <c:f>Charts!$AK$4</c:f>
              <c:strCache>
                <c:ptCount val="1"/>
                <c:pt idx="0">
                  <c:v>VN Index</c:v>
                </c:pt>
              </c:strCache>
            </c:strRef>
          </c:tx>
          <c:spPr>
            <a:ln w="19050"/>
          </c:spPr>
          <c:marker>
            <c:symbol val="none"/>
          </c:marker>
          <c:cat>
            <c:numRef>
              <c:f>Charts!$AE$5:$AE$42</c:f>
              <c:numCache>
                <c:formatCode>dd/mm/yyyy</c:formatCode>
                <c:ptCount val="38"/>
                <c:pt idx="0">
                  <c:v>42489</c:v>
                </c:pt>
                <c:pt idx="1">
                  <c:v>42489</c:v>
                </c:pt>
                <c:pt idx="2">
                  <c:v>42521</c:v>
                </c:pt>
                <c:pt idx="3">
                  <c:v>42551</c:v>
                </c:pt>
                <c:pt idx="4">
                  <c:v>42580</c:v>
                </c:pt>
                <c:pt idx="5">
                  <c:v>42613</c:v>
                </c:pt>
                <c:pt idx="6">
                  <c:v>42643</c:v>
                </c:pt>
                <c:pt idx="7">
                  <c:v>42674</c:v>
                </c:pt>
                <c:pt idx="8">
                  <c:v>42704</c:v>
                </c:pt>
                <c:pt idx="9">
                  <c:v>42734</c:v>
                </c:pt>
                <c:pt idx="10">
                  <c:v>42760</c:v>
                </c:pt>
                <c:pt idx="11">
                  <c:v>42794</c:v>
                </c:pt>
                <c:pt idx="12">
                  <c:v>42825</c:v>
                </c:pt>
                <c:pt idx="13">
                  <c:v>42853</c:v>
                </c:pt>
                <c:pt idx="14">
                  <c:v>42886</c:v>
                </c:pt>
                <c:pt idx="15">
                  <c:v>42916</c:v>
                </c:pt>
                <c:pt idx="16">
                  <c:v>42947</c:v>
                </c:pt>
                <c:pt idx="17">
                  <c:v>42978</c:v>
                </c:pt>
                <c:pt idx="18">
                  <c:v>43007</c:v>
                </c:pt>
                <c:pt idx="19">
                  <c:v>43039</c:v>
                </c:pt>
                <c:pt idx="20">
                  <c:v>43069</c:v>
                </c:pt>
                <c:pt idx="21">
                  <c:v>43098</c:v>
                </c:pt>
                <c:pt idx="22">
                  <c:v>43131</c:v>
                </c:pt>
                <c:pt idx="23">
                  <c:v>43159</c:v>
                </c:pt>
                <c:pt idx="24">
                  <c:v>43189</c:v>
                </c:pt>
                <c:pt idx="25">
                  <c:v>43217</c:v>
                </c:pt>
                <c:pt idx="26">
                  <c:v>43251</c:v>
                </c:pt>
                <c:pt idx="27">
                  <c:v>43280</c:v>
                </c:pt>
                <c:pt idx="28">
                  <c:v>43312</c:v>
                </c:pt>
                <c:pt idx="29">
                  <c:v>43343</c:v>
                </c:pt>
                <c:pt idx="30">
                  <c:v>43371</c:v>
                </c:pt>
                <c:pt idx="31">
                  <c:v>43404</c:v>
                </c:pt>
                <c:pt idx="32">
                  <c:v>43434</c:v>
                </c:pt>
                <c:pt idx="33">
                  <c:v>43462</c:v>
                </c:pt>
                <c:pt idx="34">
                  <c:v>43496</c:v>
                </c:pt>
                <c:pt idx="35">
                  <c:v>43524</c:v>
                </c:pt>
                <c:pt idx="36">
                  <c:v>43553</c:v>
                </c:pt>
                <c:pt idx="37">
                  <c:v>43494</c:v>
                </c:pt>
              </c:numCache>
            </c:numRef>
          </c:cat>
          <c:val>
            <c:numRef>
              <c:f>Charts!$AK$5:$AK$42</c:f>
              <c:numCache>
                <c:formatCode>0.00</c:formatCode>
                <c:ptCount val="38"/>
                <c:pt idx="0">
                  <c:v>100</c:v>
                </c:pt>
                <c:pt idx="1">
                  <c:v>100</c:v>
                </c:pt>
                <c:pt idx="2">
                  <c:v>103.35411200427833</c:v>
                </c:pt>
                <c:pt idx="3">
                  <c:v>105.6637197720474</c:v>
                </c:pt>
                <c:pt idx="4">
                  <c:v>109.00111970854152</c:v>
                </c:pt>
                <c:pt idx="5">
                  <c:v>112.74462289219043</c:v>
                </c:pt>
                <c:pt idx="6">
                  <c:v>114.59966241623073</c:v>
                </c:pt>
                <c:pt idx="7">
                  <c:v>112.94015408526491</c:v>
                </c:pt>
                <c:pt idx="8">
                  <c:v>111.14694921202596</c:v>
                </c:pt>
                <c:pt idx="9">
                  <c:v>111.11352507645768</c:v>
                </c:pt>
                <c:pt idx="10">
                  <c:v>116.52990624529973</c:v>
                </c:pt>
                <c:pt idx="11">
                  <c:v>118.78770660293794</c:v>
                </c:pt>
                <c:pt idx="12">
                  <c:v>120.71293681167171</c:v>
                </c:pt>
                <c:pt idx="13">
                  <c:v>119.94752410715779</c:v>
                </c:pt>
                <c:pt idx="14">
                  <c:v>123.30497852499288</c:v>
                </c:pt>
                <c:pt idx="15">
                  <c:v>129.76419272356557</c:v>
                </c:pt>
                <c:pt idx="16">
                  <c:v>130.94740712268322</c:v>
                </c:pt>
                <c:pt idx="17">
                  <c:v>130.81538178718839</c:v>
                </c:pt>
                <c:pt idx="18">
                  <c:v>134.43521566923468</c:v>
                </c:pt>
                <c:pt idx="19">
                  <c:v>139.92680114310542</c:v>
                </c:pt>
                <c:pt idx="20">
                  <c:v>158.75294550194695</c:v>
                </c:pt>
                <c:pt idx="21">
                  <c:v>164.48685595868781</c:v>
                </c:pt>
                <c:pt idx="22">
                  <c:v>185.56411584805394</c:v>
                </c:pt>
                <c:pt idx="23">
                  <c:v>187.43252502632166</c:v>
                </c:pt>
                <c:pt idx="24">
                  <c:v>196.27655129769221</c:v>
                </c:pt>
                <c:pt idx="25">
                  <c:v>175.52016310978169</c:v>
                </c:pt>
                <c:pt idx="26">
                  <c:v>162.31595835352726</c:v>
                </c:pt>
                <c:pt idx="27">
                  <c:v>160.56620485652701</c:v>
                </c:pt>
                <c:pt idx="28">
                  <c:v>159.83254508080287</c:v>
                </c:pt>
                <c:pt idx="29">
                  <c:v>165.37259555124757</c:v>
                </c:pt>
                <c:pt idx="30">
                  <c:v>169.98345505289385</c:v>
                </c:pt>
                <c:pt idx="31">
                  <c:v>152.87531126226258</c:v>
                </c:pt>
                <c:pt idx="32">
                  <c:v>154.84399284723503</c:v>
                </c:pt>
                <c:pt idx="33">
                  <c:v>149.16188980062506</c:v>
                </c:pt>
                <c:pt idx="34">
                  <c:v>152.18844527633414</c:v>
                </c:pt>
                <c:pt idx="35">
                  <c:v>161.35000083560357</c:v>
                </c:pt>
                <c:pt idx="36">
                  <c:v>163.90527599979961</c:v>
                </c:pt>
                <c:pt idx="37">
                  <c:v>153.0708424553371</c:v>
                </c:pt>
              </c:numCache>
            </c:numRef>
          </c:val>
          <c:smooth val="0"/>
          <c:extLst>
            <c:ext xmlns:c16="http://schemas.microsoft.com/office/drawing/2014/chart" uri="{C3380CC4-5D6E-409C-BE32-E72D297353CC}">
              <c16:uniqueId val="{00000002-5CF9-467D-AD19-819745528C01}"/>
            </c:ext>
          </c:extLst>
        </c:ser>
        <c:dLbls>
          <c:showLegendKey val="0"/>
          <c:showVal val="0"/>
          <c:showCatName val="0"/>
          <c:showSerName val="0"/>
          <c:showPercent val="0"/>
          <c:showBubbleSize val="0"/>
        </c:dLbls>
        <c:smooth val="0"/>
        <c:axId val="119547392"/>
        <c:axId val="119548928"/>
      </c:lineChart>
      <c:dateAx>
        <c:axId val="119547392"/>
        <c:scaling>
          <c:orientation val="minMax"/>
        </c:scaling>
        <c:delete val="0"/>
        <c:axPos val="b"/>
        <c:numFmt formatCode="dd/mm/yyyy" sourceLinked="1"/>
        <c:majorTickMark val="out"/>
        <c:minorTickMark val="none"/>
        <c:tickLblPos val="nextTo"/>
        <c:txPr>
          <a:bodyPr/>
          <a:lstStyle/>
          <a:p>
            <a:pPr>
              <a:defRPr sz="700">
                <a:latin typeface="Times New Roman" pitchFamily="18" charset="0"/>
                <a:cs typeface="Times New Roman" pitchFamily="18" charset="0"/>
              </a:defRPr>
            </a:pPr>
            <a:endParaRPr lang="en-US"/>
          </a:p>
        </c:txPr>
        <c:crossAx val="119548928"/>
        <c:crosses val="autoZero"/>
        <c:auto val="1"/>
        <c:lblOffset val="100"/>
        <c:baseTimeUnit val="days"/>
        <c:majorUnit val="1"/>
        <c:majorTimeUnit val="years"/>
        <c:minorUnit val="1"/>
        <c:minorTimeUnit val="years"/>
      </c:dateAx>
      <c:valAx>
        <c:axId val="119548928"/>
        <c:scaling>
          <c:orientation val="minMax"/>
          <c:min val="80"/>
        </c:scaling>
        <c:delete val="0"/>
        <c:axPos val="l"/>
        <c:numFmt formatCode="0" sourceLinked="0"/>
        <c:majorTickMark val="out"/>
        <c:minorTickMark val="none"/>
        <c:tickLblPos val="nextTo"/>
        <c:txPr>
          <a:bodyPr/>
          <a:lstStyle/>
          <a:p>
            <a:pPr>
              <a:defRPr sz="700">
                <a:latin typeface="Times New Roman" pitchFamily="18" charset="0"/>
                <a:cs typeface="Times New Roman" pitchFamily="18" charset="0"/>
              </a:defRPr>
            </a:pPr>
            <a:endParaRPr lang="en-US"/>
          </a:p>
        </c:txPr>
        <c:crossAx val="119547392"/>
        <c:crosses val="autoZero"/>
        <c:crossBetween val="between"/>
      </c:valAx>
    </c:plotArea>
    <c:legend>
      <c:legendPos val="r"/>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[Factsheet_model.xlsx]Charts!$AE$2</c:f>
          <c:strCache>
            <c:ptCount val="1"/>
            <c:pt idx="0">
              <c:v>Indices performance from 29/02/2016 to 28/02/2019</c:v>
            </c:pt>
          </c:strCache>
        </c:strRef>
      </c:tx>
      <c:overlay val="0"/>
      <c:txPr>
        <a:bodyPr/>
        <a:lstStyle/>
        <a:p>
          <a:pPr>
            <a:defRPr sz="900">
              <a:latin typeface="Times New Roman" pitchFamily="18" charset="0"/>
              <a:cs typeface="Times New Roman" pitchFamily="18" charset="0"/>
            </a:defRPr>
          </a:pPr>
          <a:endParaRPr lang="en-US"/>
        </a:p>
      </c:txPr>
    </c:title>
    <c:autoTitleDeleted val="0"/>
    <c:plotArea>
      <c:layout>
        <c:manualLayout>
          <c:layoutTarget val="inner"/>
          <c:xMode val="edge"/>
          <c:yMode val="edge"/>
          <c:x val="6.8272188636928299E-2"/>
          <c:y val="0.26336049749713836"/>
          <c:w val="0.67700225240152911"/>
          <c:h val="0.55690021013788527"/>
        </c:manualLayout>
      </c:layout>
      <c:lineChart>
        <c:grouping val="standard"/>
        <c:varyColors val="0"/>
        <c:ser>
          <c:idx val="1"/>
          <c:order val="0"/>
          <c:tx>
            <c:strRef>
              <c:f>[Factsheet_model.xlsx]Charts!$AG$4</c:f>
              <c:strCache>
                <c:ptCount val="1"/>
                <c:pt idx="0">
                  <c:v>VNMidcap</c:v>
                </c:pt>
              </c:strCache>
            </c:strRef>
          </c:tx>
          <c:spPr>
            <a:ln w="19050"/>
          </c:spPr>
          <c:marker>
            <c:symbol val="none"/>
          </c:marker>
          <c:cat>
            <c:numRef>
              <c:f>[Factsheet_model.xlsx]Charts!$AE$5:$AE$42</c:f>
              <c:numCache>
                <c:formatCode>m/d/yyyy</c:formatCode>
                <c:ptCount val="38"/>
                <c:pt idx="0">
                  <c:v>42429</c:v>
                </c:pt>
                <c:pt idx="1">
                  <c:v>42460</c:v>
                </c:pt>
                <c:pt idx="2">
                  <c:v>42489</c:v>
                </c:pt>
                <c:pt idx="3">
                  <c:v>42521</c:v>
                </c:pt>
                <c:pt idx="4">
                  <c:v>42551</c:v>
                </c:pt>
                <c:pt idx="5">
                  <c:v>42580</c:v>
                </c:pt>
                <c:pt idx="6">
                  <c:v>42613</c:v>
                </c:pt>
                <c:pt idx="7">
                  <c:v>42643</c:v>
                </c:pt>
                <c:pt idx="8">
                  <c:v>42674</c:v>
                </c:pt>
                <c:pt idx="9">
                  <c:v>42704</c:v>
                </c:pt>
                <c:pt idx="10">
                  <c:v>42734</c:v>
                </c:pt>
                <c:pt idx="11">
                  <c:v>42760</c:v>
                </c:pt>
                <c:pt idx="12">
                  <c:v>42794</c:v>
                </c:pt>
                <c:pt idx="13">
                  <c:v>42825</c:v>
                </c:pt>
                <c:pt idx="14">
                  <c:v>42853</c:v>
                </c:pt>
                <c:pt idx="15">
                  <c:v>42886</c:v>
                </c:pt>
                <c:pt idx="16">
                  <c:v>42916</c:v>
                </c:pt>
                <c:pt idx="17">
                  <c:v>42947</c:v>
                </c:pt>
                <c:pt idx="18">
                  <c:v>42978</c:v>
                </c:pt>
                <c:pt idx="19">
                  <c:v>43007</c:v>
                </c:pt>
                <c:pt idx="20">
                  <c:v>43039</c:v>
                </c:pt>
                <c:pt idx="21">
                  <c:v>43069</c:v>
                </c:pt>
                <c:pt idx="22">
                  <c:v>43098</c:v>
                </c:pt>
                <c:pt idx="23">
                  <c:v>43131</c:v>
                </c:pt>
                <c:pt idx="24">
                  <c:v>43159</c:v>
                </c:pt>
                <c:pt idx="25">
                  <c:v>43189</c:v>
                </c:pt>
                <c:pt idx="26">
                  <c:v>43217</c:v>
                </c:pt>
                <c:pt idx="27">
                  <c:v>43251</c:v>
                </c:pt>
                <c:pt idx="28">
                  <c:v>43280</c:v>
                </c:pt>
                <c:pt idx="29">
                  <c:v>43312</c:v>
                </c:pt>
                <c:pt idx="30">
                  <c:v>43343</c:v>
                </c:pt>
                <c:pt idx="31">
                  <c:v>43371</c:v>
                </c:pt>
                <c:pt idx="32">
                  <c:v>43404</c:v>
                </c:pt>
                <c:pt idx="33">
                  <c:v>43434</c:v>
                </c:pt>
                <c:pt idx="34">
                  <c:v>43462</c:v>
                </c:pt>
                <c:pt idx="35">
                  <c:v>43496</c:v>
                </c:pt>
                <c:pt idx="36">
                  <c:v>43524</c:v>
                </c:pt>
                <c:pt idx="37">
                  <c:v>43494</c:v>
                </c:pt>
              </c:numCache>
            </c:numRef>
          </c:cat>
          <c:val>
            <c:numRef>
              <c:f>[Factsheet_model.xlsx]Charts!$AG$5:$AG$42</c:f>
              <c:numCache>
                <c:formatCode>0.00</c:formatCode>
                <c:ptCount val="38"/>
                <c:pt idx="0">
                  <c:v>100</c:v>
                </c:pt>
                <c:pt idx="1">
                  <c:v>100.19990876646898</c:v>
                </c:pt>
                <c:pt idx="2">
                  <c:v>102.98253146215153</c:v>
                </c:pt>
                <c:pt idx="3">
                  <c:v>105.90066278476938</c:v>
                </c:pt>
                <c:pt idx="4">
                  <c:v>115.73912576810579</c:v>
                </c:pt>
                <c:pt idx="5">
                  <c:v>116.55754420801249</c:v>
                </c:pt>
                <c:pt idx="6">
                  <c:v>116.21944347546086</c:v>
                </c:pt>
                <c:pt idx="7">
                  <c:v>119.14562481552045</c:v>
                </c:pt>
                <c:pt idx="8">
                  <c:v>114.80934875358905</c:v>
                </c:pt>
                <c:pt idx="9">
                  <c:v>109.80894625271695</c:v>
                </c:pt>
                <c:pt idx="10">
                  <c:v>107.44894947272392</c:v>
                </c:pt>
                <c:pt idx="11">
                  <c:v>110.3482974213112</c:v>
                </c:pt>
                <c:pt idx="12">
                  <c:v>117.34644591729963</c:v>
                </c:pt>
                <c:pt idx="13">
                  <c:v>122.78289102959737</c:v>
                </c:pt>
                <c:pt idx="14">
                  <c:v>126.50870743553295</c:v>
                </c:pt>
                <c:pt idx="15">
                  <c:v>134.53054981619138</c:v>
                </c:pt>
                <c:pt idx="16">
                  <c:v>143.1829768964501</c:v>
                </c:pt>
                <c:pt idx="17">
                  <c:v>142.69326750207966</c:v>
                </c:pt>
                <c:pt idx="18">
                  <c:v>138.40394987522478</c:v>
                </c:pt>
                <c:pt idx="19">
                  <c:v>139.7831861969035</c:v>
                </c:pt>
                <c:pt idx="20">
                  <c:v>130.48944106045568</c:v>
                </c:pt>
                <c:pt idx="21">
                  <c:v>141.69640700888189</c:v>
                </c:pt>
                <c:pt idx="22">
                  <c:v>143.02600155633672</c:v>
                </c:pt>
                <c:pt idx="23">
                  <c:v>152.69273083425017</c:v>
                </c:pt>
                <c:pt idx="24">
                  <c:v>145.90388279174607</c:v>
                </c:pt>
                <c:pt idx="25">
                  <c:v>154.24101752220457</c:v>
                </c:pt>
                <c:pt idx="26">
                  <c:v>143.47680253307209</c:v>
                </c:pt>
                <c:pt idx="27">
                  <c:v>133.09496337242055</c:v>
                </c:pt>
                <c:pt idx="28">
                  <c:v>127.53240132020278</c:v>
                </c:pt>
                <c:pt idx="29">
                  <c:v>133.88654842085472</c:v>
                </c:pt>
                <c:pt idx="30">
                  <c:v>137.84313199345249</c:v>
                </c:pt>
                <c:pt idx="31">
                  <c:v>144.02286204953433</c:v>
                </c:pt>
                <c:pt idx="32">
                  <c:v>127.19430058765116</c:v>
                </c:pt>
                <c:pt idx="33">
                  <c:v>127.00915018649196</c:v>
                </c:pt>
                <c:pt idx="34">
                  <c:v>124.74709528537296</c:v>
                </c:pt>
                <c:pt idx="35">
                  <c:v>125.80835591810443</c:v>
                </c:pt>
                <c:pt idx="36">
                  <c:v>134.95451740145435</c:v>
                </c:pt>
                <c:pt idx="37">
                  <c:v>125.62186384737159</c:v>
                </c:pt>
              </c:numCache>
            </c:numRef>
          </c:val>
          <c:smooth val="0"/>
          <c:extLst>
            <c:ext xmlns:c16="http://schemas.microsoft.com/office/drawing/2014/chart" uri="{C3380CC4-5D6E-409C-BE32-E72D297353CC}">
              <c16:uniqueId val="{00000000-6383-4940-8C76-A28A60C2E760}"/>
            </c:ext>
          </c:extLst>
        </c:ser>
        <c:ser>
          <c:idx val="4"/>
          <c:order val="1"/>
          <c:tx>
            <c:strRef>
              <c:f>[Factsheet_model.xlsx]Charts!$AJ$4</c:f>
              <c:strCache>
                <c:ptCount val="1"/>
                <c:pt idx="0">
                  <c:v>VNAllshare</c:v>
                </c:pt>
              </c:strCache>
            </c:strRef>
          </c:tx>
          <c:spPr>
            <a:ln w="19050"/>
          </c:spPr>
          <c:marker>
            <c:symbol val="none"/>
          </c:marker>
          <c:cat>
            <c:numRef>
              <c:f>[Factsheet_model.xlsx]Charts!$AE$5:$AE$42</c:f>
              <c:numCache>
                <c:formatCode>m/d/yyyy</c:formatCode>
                <c:ptCount val="38"/>
                <c:pt idx="0">
                  <c:v>42429</c:v>
                </c:pt>
                <c:pt idx="1">
                  <c:v>42460</c:v>
                </c:pt>
                <c:pt idx="2">
                  <c:v>42489</c:v>
                </c:pt>
                <c:pt idx="3">
                  <c:v>42521</c:v>
                </c:pt>
                <c:pt idx="4">
                  <c:v>42551</c:v>
                </c:pt>
                <c:pt idx="5">
                  <c:v>42580</c:v>
                </c:pt>
                <c:pt idx="6">
                  <c:v>42613</c:v>
                </c:pt>
                <c:pt idx="7">
                  <c:v>42643</c:v>
                </c:pt>
                <c:pt idx="8">
                  <c:v>42674</c:v>
                </c:pt>
                <c:pt idx="9">
                  <c:v>42704</c:v>
                </c:pt>
                <c:pt idx="10">
                  <c:v>42734</c:v>
                </c:pt>
                <c:pt idx="11">
                  <c:v>42760</c:v>
                </c:pt>
                <c:pt idx="12">
                  <c:v>42794</c:v>
                </c:pt>
                <c:pt idx="13">
                  <c:v>42825</c:v>
                </c:pt>
                <c:pt idx="14">
                  <c:v>42853</c:v>
                </c:pt>
                <c:pt idx="15">
                  <c:v>42886</c:v>
                </c:pt>
                <c:pt idx="16">
                  <c:v>42916</c:v>
                </c:pt>
                <c:pt idx="17">
                  <c:v>42947</c:v>
                </c:pt>
                <c:pt idx="18">
                  <c:v>42978</c:v>
                </c:pt>
                <c:pt idx="19">
                  <c:v>43007</c:v>
                </c:pt>
                <c:pt idx="20">
                  <c:v>43039</c:v>
                </c:pt>
                <c:pt idx="21">
                  <c:v>43069</c:v>
                </c:pt>
                <c:pt idx="22">
                  <c:v>43098</c:v>
                </c:pt>
                <c:pt idx="23">
                  <c:v>43131</c:v>
                </c:pt>
                <c:pt idx="24">
                  <c:v>43159</c:v>
                </c:pt>
                <c:pt idx="25">
                  <c:v>43189</c:v>
                </c:pt>
                <c:pt idx="26">
                  <c:v>43217</c:v>
                </c:pt>
                <c:pt idx="27">
                  <c:v>43251</c:v>
                </c:pt>
                <c:pt idx="28">
                  <c:v>43280</c:v>
                </c:pt>
                <c:pt idx="29">
                  <c:v>43312</c:v>
                </c:pt>
                <c:pt idx="30">
                  <c:v>43343</c:v>
                </c:pt>
                <c:pt idx="31">
                  <c:v>43371</c:v>
                </c:pt>
                <c:pt idx="32">
                  <c:v>43404</c:v>
                </c:pt>
                <c:pt idx="33">
                  <c:v>43434</c:v>
                </c:pt>
                <c:pt idx="34">
                  <c:v>43462</c:v>
                </c:pt>
                <c:pt idx="35">
                  <c:v>43496</c:v>
                </c:pt>
                <c:pt idx="36">
                  <c:v>43524</c:v>
                </c:pt>
                <c:pt idx="37">
                  <c:v>43494</c:v>
                </c:pt>
              </c:numCache>
            </c:numRef>
          </c:cat>
          <c:val>
            <c:numRef>
              <c:f>[Factsheet_model.xlsx]Charts!$AJ$5:$AJ$42</c:f>
              <c:numCache>
                <c:formatCode>0.00</c:formatCode>
                <c:ptCount val="38"/>
                <c:pt idx="0">
                  <c:v>100</c:v>
                </c:pt>
                <c:pt idx="1">
                  <c:v>101.10040046780311</c:v>
                </c:pt>
                <c:pt idx="2">
                  <c:v>105.85462664351273</c:v>
                </c:pt>
                <c:pt idx="3">
                  <c:v>108.36729631073464</c:v>
                </c:pt>
                <c:pt idx="4">
                  <c:v>112.1983201616047</c:v>
                </c:pt>
                <c:pt idx="5">
                  <c:v>114.7747811602934</c:v>
                </c:pt>
                <c:pt idx="6">
                  <c:v>117.56033596767905</c:v>
                </c:pt>
                <c:pt idx="7">
                  <c:v>118.98146507424599</c:v>
                </c:pt>
                <c:pt idx="8">
                  <c:v>115.04412233759788</c:v>
                </c:pt>
                <c:pt idx="9">
                  <c:v>112.22489988304925</c:v>
                </c:pt>
                <c:pt idx="10">
                  <c:v>110.42811071339976</c:v>
                </c:pt>
                <c:pt idx="11">
                  <c:v>113.02406350781449</c:v>
                </c:pt>
                <c:pt idx="12">
                  <c:v>116.95609030017367</c:v>
                </c:pt>
                <c:pt idx="13">
                  <c:v>122.34114186483325</c:v>
                </c:pt>
                <c:pt idx="14">
                  <c:v>121.74044016018712</c:v>
                </c:pt>
                <c:pt idx="15">
                  <c:v>127.65708615373707</c:v>
                </c:pt>
                <c:pt idx="16">
                  <c:v>136.28486373462812</c:v>
                </c:pt>
                <c:pt idx="17">
                  <c:v>135.47152425842577</c:v>
                </c:pt>
                <c:pt idx="18">
                  <c:v>135.99071481730863</c:v>
                </c:pt>
                <c:pt idx="19">
                  <c:v>139.1855973349399</c:v>
                </c:pt>
                <c:pt idx="20">
                  <c:v>141.99418790091076</c:v>
                </c:pt>
                <c:pt idx="21">
                  <c:v>159.81146117588685</c:v>
                </c:pt>
                <c:pt idx="22">
                  <c:v>164.82439664032319</c:v>
                </c:pt>
                <c:pt idx="23">
                  <c:v>181.66353616614103</c:v>
                </c:pt>
                <c:pt idx="24">
                  <c:v>181.51823368891104</c:v>
                </c:pt>
                <c:pt idx="25">
                  <c:v>189.7703512067194</c:v>
                </c:pt>
                <c:pt idx="26">
                  <c:v>172.1125562604104</c:v>
                </c:pt>
                <c:pt idx="27">
                  <c:v>158.94141829393635</c:v>
                </c:pt>
                <c:pt idx="28">
                  <c:v>158.27692525782336</c:v>
                </c:pt>
                <c:pt idx="29">
                  <c:v>159.06368501258135</c:v>
                </c:pt>
                <c:pt idx="30">
                  <c:v>162.51727681893914</c:v>
                </c:pt>
                <c:pt idx="31">
                  <c:v>167.4008576390122</c:v>
                </c:pt>
                <c:pt idx="32">
                  <c:v>151.42644505085607</c:v>
                </c:pt>
                <c:pt idx="33">
                  <c:v>151.16241981784049</c:v>
                </c:pt>
                <c:pt idx="34">
                  <c:v>145.01718821986759</c:v>
                </c:pt>
                <c:pt idx="35">
                  <c:v>147.44657475989672</c:v>
                </c:pt>
                <c:pt idx="36">
                  <c:v>155.63844490909753</c:v>
                </c:pt>
                <c:pt idx="37">
                  <c:v>148.16422723889872</c:v>
                </c:pt>
              </c:numCache>
            </c:numRef>
          </c:val>
          <c:smooth val="0"/>
          <c:extLst>
            <c:ext xmlns:c16="http://schemas.microsoft.com/office/drawing/2014/chart" uri="{C3380CC4-5D6E-409C-BE32-E72D297353CC}">
              <c16:uniqueId val="{00000001-6383-4940-8C76-A28A60C2E760}"/>
            </c:ext>
          </c:extLst>
        </c:ser>
        <c:ser>
          <c:idx val="5"/>
          <c:order val="2"/>
          <c:tx>
            <c:strRef>
              <c:f>[Factsheet_model.xlsx]Charts!$AK$4</c:f>
              <c:strCache>
                <c:ptCount val="1"/>
                <c:pt idx="0">
                  <c:v>VN Index</c:v>
                </c:pt>
              </c:strCache>
            </c:strRef>
          </c:tx>
          <c:spPr>
            <a:ln w="19050"/>
          </c:spPr>
          <c:marker>
            <c:symbol val="none"/>
          </c:marker>
          <c:cat>
            <c:numRef>
              <c:f>[Factsheet_model.xlsx]Charts!$AE$5:$AE$42</c:f>
              <c:numCache>
                <c:formatCode>m/d/yyyy</c:formatCode>
                <c:ptCount val="38"/>
                <c:pt idx="0">
                  <c:v>42429</c:v>
                </c:pt>
                <c:pt idx="1">
                  <c:v>42460</c:v>
                </c:pt>
                <c:pt idx="2">
                  <c:v>42489</c:v>
                </c:pt>
                <c:pt idx="3">
                  <c:v>42521</c:v>
                </c:pt>
                <c:pt idx="4">
                  <c:v>42551</c:v>
                </c:pt>
                <c:pt idx="5">
                  <c:v>42580</c:v>
                </c:pt>
                <c:pt idx="6">
                  <c:v>42613</c:v>
                </c:pt>
                <c:pt idx="7">
                  <c:v>42643</c:v>
                </c:pt>
                <c:pt idx="8">
                  <c:v>42674</c:v>
                </c:pt>
                <c:pt idx="9">
                  <c:v>42704</c:v>
                </c:pt>
                <c:pt idx="10">
                  <c:v>42734</c:v>
                </c:pt>
                <c:pt idx="11">
                  <c:v>42760</c:v>
                </c:pt>
                <c:pt idx="12">
                  <c:v>42794</c:v>
                </c:pt>
                <c:pt idx="13">
                  <c:v>42825</c:v>
                </c:pt>
                <c:pt idx="14">
                  <c:v>42853</c:v>
                </c:pt>
                <c:pt idx="15">
                  <c:v>42886</c:v>
                </c:pt>
                <c:pt idx="16">
                  <c:v>42916</c:v>
                </c:pt>
                <c:pt idx="17">
                  <c:v>42947</c:v>
                </c:pt>
                <c:pt idx="18">
                  <c:v>42978</c:v>
                </c:pt>
                <c:pt idx="19">
                  <c:v>43007</c:v>
                </c:pt>
                <c:pt idx="20">
                  <c:v>43039</c:v>
                </c:pt>
                <c:pt idx="21">
                  <c:v>43069</c:v>
                </c:pt>
                <c:pt idx="22">
                  <c:v>43098</c:v>
                </c:pt>
                <c:pt idx="23">
                  <c:v>43131</c:v>
                </c:pt>
                <c:pt idx="24">
                  <c:v>43159</c:v>
                </c:pt>
                <c:pt idx="25">
                  <c:v>43189</c:v>
                </c:pt>
                <c:pt idx="26">
                  <c:v>43217</c:v>
                </c:pt>
                <c:pt idx="27">
                  <c:v>43251</c:v>
                </c:pt>
                <c:pt idx="28">
                  <c:v>43280</c:v>
                </c:pt>
                <c:pt idx="29">
                  <c:v>43312</c:v>
                </c:pt>
                <c:pt idx="30">
                  <c:v>43343</c:v>
                </c:pt>
                <c:pt idx="31">
                  <c:v>43371</c:v>
                </c:pt>
                <c:pt idx="32">
                  <c:v>43404</c:v>
                </c:pt>
                <c:pt idx="33">
                  <c:v>43434</c:v>
                </c:pt>
                <c:pt idx="34">
                  <c:v>43462</c:v>
                </c:pt>
                <c:pt idx="35">
                  <c:v>43496</c:v>
                </c:pt>
                <c:pt idx="36">
                  <c:v>43524</c:v>
                </c:pt>
                <c:pt idx="37">
                  <c:v>43494</c:v>
                </c:pt>
              </c:numCache>
            </c:numRef>
          </c:cat>
          <c:val>
            <c:numRef>
              <c:f>[Factsheet_model.xlsx]Charts!$AK$5:$AK$42</c:f>
              <c:numCache>
                <c:formatCode>0.00</c:formatCode>
                <c:ptCount val="38"/>
                <c:pt idx="0">
                  <c:v>100</c:v>
                </c:pt>
                <c:pt idx="1">
                  <c:v>100.33072921322206</c:v>
                </c:pt>
                <c:pt idx="2">
                  <c:v>106.9721293598155</c:v>
                </c:pt>
                <c:pt idx="3">
                  <c:v>110.56009439190522</c:v>
                </c:pt>
                <c:pt idx="4">
                  <c:v>113.03073100094755</c:v>
                </c:pt>
                <c:pt idx="5">
                  <c:v>116.60081877826845</c:v>
                </c:pt>
                <c:pt idx="6">
                  <c:v>120.60532384647017</c:v>
                </c:pt>
                <c:pt idx="7">
                  <c:v>122.58969912580226</c:v>
                </c:pt>
                <c:pt idx="8">
                  <c:v>120.81448772726458</c:v>
                </c:pt>
                <c:pt idx="9">
                  <c:v>118.89625829057691</c:v>
                </c:pt>
                <c:pt idx="10">
                  <c:v>118.86050378103938</c:v>
                </c:pt>
                <c:pt idx="11">
                  <c:v>124.65452205159376</c:v>
                </c:pt>
                <c:pt idx="12">
                  <c:v>127.0697391708529</c:v>
                </c:pt>
                <c:pt idx="13">
                  <c:v>129.12919892021378</c:v>
                </c:pt>
                <c:pt idx="14">
                  <c:v>128.31042065180469</c:v>
                </c:pt>
                <c:pt idx="15">
                  <c:v>131.90196113484811</c:v>
                </c:pt>
                <c:pt idx="16">
                  <c:v>138.81152010297288</c:v>
                </c:pt>
                <c:pt idx="17">
                  <c:v>140.07722974060093</c:v>
                </c:pt>
                <c:pt idx="18">
                  <c:v>139.93599942792764</c:v>
                </c:pt>
                <c:pt idx="19">
                  <c:v>143.80821281084059</c:v>
                </c:pt>
                <c:pt idx="20">
                  <c:v>149.68267872785447</c:v>
                </c:pt>
                <c:pt idx="21">
                  <c:v>169.82140622486</c:v>
                </c:pt>
                <c:pt idx="22">
                  <c:v>175.95509233602081</c:v>
                </c:pt>
                <c:pt idx="23">
                  <c:v>198.501886050378</c:v>
                </c:pt>
                <c:pt idx="24">
                  <c:v>200.50056313352513</c:v>
                </c:pt>
                <c:pt idx="25">
                  <c:v>209.96120635715175</c:v>
                </c:pt>
                <c:pt idx="26">
                  <c:v>187.75765593435472</c:v>
                </c:pt>
                <c:pt idx="27">
                  <c:v>173.63283694155916</c:v>
                </c:pt>
                <c:pt idx="28">
                  <c:v>171.76108836727019</c:v>
                </c:pt>
                <c:pt idx="29">
                  <c:v>170.97627688292161</c:v>
                </c:pt>
                <c:pt idx="30">
                  <c:v>176.90258683876476</c:v>
                </c:pt>
                <c:pt idx="31">
                  <c:v>181.83492142946511</c:v>
                </c:pt>
                <c:pt idx="32">
                  <c:v>163.53397572268787</c:v>
                </c:pt>
                <c:pt idx="33">
                  <c:v>165.63991633444749</c:v>
                </c:pt>
                <c:pt idx="34">
                  <c:v>159.56164971306987</c:v>
                </c:pt>
                <c:pt idx="35">
                  <c:v>162.79922055169192</c:v>
                </c:pt>
                <c:pt idx="36">
                  <c:v>172.599531615925</c:v>
                </c:pt>
                <c:pt idx="37">
                  <c:v>163.74313960348232</c:v>
                </c:pt>
              </c:numCache>
            </c:numRef>
          </c:val>
          <c:smooth val="0"/>
          <c:extLst>
            <c:ext xmlns:c16="http://schemas.microsoft.com/office/drawing/2014/chart" uri="{C3380CC4-5D6E-409C-BE32-E72D297353CC}">
              <c16:uniqueId val="{00000002-6383-4940-8C76-A28A60C2E760}"/>
            </c:ext>
          </c:extLst>
        </c:ser>
        <c:dLbls>
          <c:showLegendKey val="0"/>
          <c:showVal val="0"/>
          <c:showCatName val="0"/>
          <c:showSerName val="0"/>
          <c:showPercent val="0"/>
          <c:showBubbleSize val="0"/>
        </c:dLbls>
        <c:smooth val="0"/>
        <c:axId val="119547392"/>
        <c:axId val="119548928"/>
      </c:lineChart>
      <c:dateAx>
        <c:axId val="119547392"/>
        <c:scaling>
          <c:orientation val="minMax"/>
        </c:scaling>
        <c:delete val="0"/>
        <c:axPos val="b"/>
        <c:numFmt formatCode="m/d/yyyy" sourceLinked="1"/>
        <c:majorTickMark val="out"/>
        <c:minorTickMark val="none"/>
        <c:tickLblPos val="nextTo"/>
        <c:txPr>
          <a:bodyPr/>
          <a:lstStyle/>
          <a:p>
            <a:pPr>
              <a:defRPr sz="700">
                <a:latin typeface="Times New Roman" pitchFamily="18" charset="0"/>
                <a:cs typeface="Times New Roman" pitchFamily="18" charset="0"/>
              </a:defRPr>
            </a:pPr>
            <a:endParaRPr lang="en-US"/>
          </a:p>
        </c:txPr>
        <c:crossAx val="119548928"/>
        <c:crosses val="autoZero"/>
        <c:auto val="1"/>
        <c:lblOffset val="100"/>
        <c:baseTimeUnit val="days"/>
        <c:majorUnit val="1"/>
        <c:majorTimeUnit val="years"/>
        <c:minorUnit val="1"/>
        <c:minorTimeUnit val="years"/>
      </c:dateAx>
      <c:valAx>
        <c:axId val="119548928"/>
        <c:scaling>
          <c:orientation val="minMax"/>
          <c:min val="80"/>
        </c:scaling>
        <c:delete val="0"/>
        <c:axPos val="l"/>
        <c:numFmt formatCode="0" sourceLinked="0"/>
        <c:majorTickMark val="out"/>
        <c:minorTickMark val="none"/>
        <c:tickLblPos val="nextTo"/>
        <c:txPr>
          <a:bodyPr/>
          <a:lstStyle/>
          <a:p>
            <a:pPr>
              <a:defRPr sz="700">
                <a:latin typeface="Times New Roman" pitchFamily="18" charset="0"/>
                <a:cs typeface="Times New Roman" pitchFamily="18" charset="0"/>
              </a:defRPr>
            </a:pPr>
            <a:endParaRPr lang="en-US"/>
          </a:p>
        </c:txPr>
        <c:crossAx val="119547392"/>
        <c:crosses val="autoZero"/>
        <c:crossBetween val="between"/>
      </c:valAx>
    </c:plotArea>
    <c:legend>
      <c:legendPos val="r"/>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Sector_Eng!$AF$24:$AF$29</c:f>
              <c:strCache>
                <c:ptCount val="6"/>
                <c:pt idx="0">
                  <c:v>Real Estate</c:v>
                </c:pt>
                <c:pt idx="1">
                  <c:v>Industrials</c:v>
                </c:pt>
                <c:pt idx="2">
                  <c:v>Financials</c:v>
                </c:pt>
                <c:pt idx="3">
                  <c:v>Consumer Staples</c:v>
                </c:pt>
                <c:pt idx="4">
                  <c:v>Materials</c:v>
                </c:pt>
                <c:pt idx="5">
                  <c:v>Others</c:v>
                </c:pt>
              </c:strCache>
            </c:strRef>
          </c:cat>
          <c:val>
            <c:numRef>
              <c:f>Sector_Eng!$AE$24:$AE$29</c:f>
              <c:numCache>
                <c:formatCode>0.00%</c:formatCode>
                <c:ptCount val="6"/>
                <c:pt idx="0">
                  <c:v>0.25397728980757056</c:v>
                </c:pt>
                <c:pt idx="1">
                  <c:v>0.20888174484472746</c:v>
                </c:pt>
                <c:pt idx="2">
                  <c:v>0.14320548419624407</c:v>
                </c:pt>
                <c:pt idx="3">
                  <c:v>0.139199498729596</c:v>
                </c:pt>
                <c:pt idx="4">
                  <c:v>8.8744975109015939E-2</c:v>
                </c:pt>
                <c:pt idx="5">
                  <c:v>0.165991007312846</c:v>
                </c:pt>
              </c:numCache>
            </c:numRef>
          </c:val>
          <c:extLst>
            <c:ext xmlns:c16="http://schemas.microsoft.com/office/drawing/2014/chart" uri="{C3380CC4-5D6E-409C-BE32-E72D297353CC}">
              <c16:uniqueId val="{00000000-F7D3-4910-BC42-D4C8DBAF4558}"/>
            </c:ext>
          </c:extLst>
        </c:ser>
        <c:dLbls>
          <c:showLegendKey val="0"/>
          <c:showVal val="1"/>
          <c:showCatName val="1"/>
          <c:showSerName val="0"/>
          <c:showPercent val="0"/>
          <c:showBubbleSize val="0"/>
          <c:showLeaderLines val="1"/>
        </c:dLbls>
        <c:firstSliceAng val="0"/>
      </c:pieChart>
    </c:plotArea>
    <c:plotVisOnly val="1"/>
    <c:dispBlanksAs val="zero"/>
    <c:showDLblsOverMax val="0"/>
  </c:chart>
  <c:spPr>
    <a:ln>
      <a:noFill/>
    </a:ln>
  </c:spPr>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Charts!$AE$2</c:f>
          <c:strCache>
            <c:ptCount val="1"/>
            <c:pt idx="0">
              <c:v>Indices performance from 29/04/2016 to 26/04/2019</c:v>
            </c:pt>
          </c:strCache>
        </c:strRef>
      </c:tx>
      <c:overlay val="0"/>
      <c:txPr>
        <a:bodyPr/>
        <a:lstStyle/>
        <a:p>
          <a:pPr>
            <a:defRPr sz="900">
              <a:latin typeface="Times New Roman" pitchFamily="18" charset="0"/>
              <a:cs typeface="Times New Roman" pitchFamily="18" charset="0"/>
            </a:defRPr>
          </a:pPr>
          <a:endParaRPr lang="en-US"/>
        </a:p>
      </c:txPr>
    </c:title>
    <c:autoTitleDeleted val="0"/>
    <c:plotArea>
      <c:layout>
        <c:manualLayout>
          <c:layoutTarget val="inner"/>
          <c:xMode val="edge"/>
          <c:yMode val="edge"/>
          <c:x val="6.8272188636928299E-2"/>
          <c:y val="0.26336049749713836"/>
          <c:w val="0.67700225240152911"/>
          <c:h val="0.53954248031024021"/>
        </c:manualLayout>
      </c:layout>
      <c:lineChart>
        <c:grouping val="standard"/>
        <c:varyColors val="0"/>
        <c:ser>
          <c:idx val="2"/>
          <c:order val="0"/>
          <c:tx>
            <c:strRef>
              <c:f>Charts!$AH$4</c:f>
              <c:strCache>
                <c:ptCount val="1"/>
                <c:pt idx="0">
                  <c:v>VN100</c:v>
                </c:pt>
              </c:strCache>
            </c:strRef>
          </c:tx>
          <c:spPr>
            <a:ln w="19050"/>
          </c:spPr>
          <c:marker>
            <c:symbol val="none"/>
          </c:marker>
          <c:cat>
            <c:numRef>
              <c:f>Charts!$AE$5:$AE$42</c:f>
              <c:numCache>
                <c:formatCode>dd/mm/yyyy</c:formatCode>
                <c:ptCount val="38"/>
                <c:pt idx="0">
                  <c:v>42489</c:v>
                </c:pt>
                <c:pt idx="1">
                  <c:v>42489</c:v>
                </c:pt>
                <c:pt idx="2">
                  <c:v>42521</c:v>
                </c:pt>
                <c:pt idx="3">
                  <c:v>42551</c:v>
                </c:pt>
                <c:pt idx="4">
                  <c:v>42580</c:v>
                </c:pt>
                <c:pt idx="5">
                  <c:v>42613</c:v>
                </c:pt>
                <c:pt idx="6">
                  <c:v>42643</c:v>
                </c:pt>
                <c:pt idx="7">
                  <c:v>42674</c:v>
                </c:pt>
                <c:pt idx="8">
                  <c:v>42704</c:v>
                </c:pt>
                <c:pt idx="9">
                  <c:v>42734</c:v>
                </c:pt>
                <c:pt idx="10">
                  <c:v>42760</c:v>
                </c:pt>
                <c:pt idx="11">
                  <c:v>42794</c:v>
                </c:pt>
                <c:pt idx="12">
                  <c:v>42825</c:v>
                </c:pt>
                <c:pt idx="13">
                  <c:v>42853</c:v>
                </c:pt>
                <c:pt idx="14">
                  <c:v>42886</c:v>
                </c:pt>
                <c:pt idx="15">
                  <c:v>42916</c:v>
                </c:pt>
                <c:pt idx="16">
                  <c:v>42947</c:v>
                </c:pt>
                <c:pt idx="17">
                  <c:v>42978</c:v>
                </c:pt>
                <c:pt idx="18">
                  <c:v>43007</c:v>
                </c:pt>
                <c:pt idx="19">
                  <c:v>43039</c:v>
                </c:pt>
                <c:pt idx="20">
                  <c:v>43069</c:v>
                </c:pt>
                <c:pt idx="21">
                  <c:v>43098</c:v>
                </c:pt>
                <c:pt idx="22">
                  <c:v>43131</c:v>
                </c:pt>
                <c:pt idx="23">
                  <c:v>43159</c:v>
                </c:pt>
                <c:pt idx="24">
                  <c:v>43189</c:v>
                </c:pt>
                <c:pt idx="25">
                  <c:v>43217</c:v>
                </c:pt>
                <c:pt idx="26">
                  <c:v>43251</c:v>
                </c:pt>
                <c:pt idx="27">
                  <c:v>43280</c:v>
                </c:pt>
                <c:pt idx="28">
                  <c:v>43312</c:v>
                </c:pt>
                <c:pt idx="29">
                  <c:v>43343</c:v>
                </c:pt>
                <c:pt idx="30">
                  <c:v>43371</c:v>
                </c:pt>
                <c:pt idx="31">
                  <c:v>43404</c:v>
                </c:pt>
                <c:pt idx="32">
                  <c:v>43434</c:v>
                </c:pt>
                <c:pt idx="33">
                  <c:v>43462</c:v>
                </c:pt>
                <c:pt idx="34">
                  <c:v>43496</c:v>
                </c:pt>
                <c:pt idx="35">
                  <c:v>43524</c:v>
                </c:pt>
                <c:pt idx="36">
                  <c:v>43553</c:v>
                </c:pt>
                <c:pt idx="37">
                  <c:v>43494</c:v>
                </c:pt>
              </c:numCache>
            </c:numRef>
          </c:cat>
          <c:val>
            <c:numRef>
              <c:f>Charts!$AH$5:$AH$42</c:f>
              <c:numCache>
                <c:formatCode>0.00</c:formatCode>
                <c:ptCount val="38"/>
                <c:pt idx="0">
                  <c:v>100</c:v>
                </c:pt>
                <c:pt idx="1">
                  <c:v>100</c:v>
                </c:pt>
                <c:pt idx="2">
                  <c:v>102.6016149131941</c:v>
                </c:pt>
                <c:pt idx="3">
                  <c:v>105.59415490192728</c:v>
                </c:pt>
                <c:pt idx="4">
                  <c:v>108.33575171989953</c:v>
                </c:pt>
                <c:pt idx="5">
                  <c:v>111.52119360180259</c:v>
                </c:pt>
                <c:pt idx="6">
                  <c:v>112.88004233599065</c:v>
                </c:pt>
                <c:pt idx="7">
                  <c:v>108.88714385701357</c:v>
                </c:pt>
                <c:pt idx="8">
                  <c:v>106.0943341470492</c:v>
                </c:pt>
                <c:pt idx="9">
                  <c:v>104.75426347325828</c:v>
                </c:pt>
                <c:pt idx="10">
                  <c:v>107.45318288123731</c:v>
                </c:pt>
                <c:pt idx="11">
                  <c:v>110.83494084910973</c:v>
                </c:pt>
                <c:pt idx="12">
                  <c:v>116.31130609945542</c:v>
                </c:pt>
                <c:pt idx="13">
                  <c:v>115.66090237115684</c:v>
                </c:pt>
                <c:pt idx="14">
                  <c:v>121.33187661107219</c:v>
                </c:pt>
                <c:pt idx="15">
                  <c:v>129.81102442854944</c:v>
                </c:pt>
                <c:pt idx="16">
                  <c:v>128.61093565953658</c:v>
                </c:pt>
                <c:pt idx="17">
                  <c:v>129.42692773860921</c:v>
                </c:pt>
                <c:pt idx="18">
                  <c:v>132.59871284931438</c:v>
                </c:pt>
                <c:pt idx="19">
                  <c:v>135.79610440601556</c:v>
                </c:pt>
                <c:pt idx="20">
                  <c:v>153.57892760204143</c:v>
                </c:pt>
                <c:pt idx="21">
                  <c:v>158.52267877567019</c:v>
                </c:pt>
                <c:pt idx="22">
                  <c:v>175.67387630379454</c:v>
                </c:pt>
                <c:pt idx="23">
                  <c:v>175.96408269174924</c:v>
                </c:pt>
                <c:pt idx="24">
                  <c:v>184.4107956776316</c:v>
                </c:pt>
                <c:pt idx="25">
                  <c:v>166.67577118079822</c:v>
                </c:pt>
                <c:pt idx="26">
                  <c:v>153.6540398436297</c:v>
                </c:pt>
                <c:pt idx="27">
                  <c:v>153.02241417572827</c:v>
                </c:pt>
                <c:pt idx="28">
                  <c:v>153.9749739667796</c:v>
                </c:pt>
                <c:pt idx="29">
                  <c:v>157.61108929821248</c:v>
                </c:pt>
                <c:pt idx="30">
                  <c:v>162.14001604670591</c:v>
                </c:pt>
                <c:pt idx="31">
                  <c:v>146.32035371037389</c:v>
                </c:pt>
                <c:pt idx="32">
                  <c:v>145.92089315283613</c:v>
                </c:pt>
                <c:pt idx="33">
                  <c:v>140.00068283855973</c:v>
                </c:pt>
                <c:pt idx="34">
                  <c:v>142.33428361699572</c:v>
                </c:pt>
                <c:pt idx="35">
                  <c:v>150.36105088854353</c:v>
                </c:pt>
                <c:pt idx="36">
                  <c:v>149.8540432578227</c:v>
                </c:pt>
                <c:pt idx="37">
                  <c:v>143.08711312927832</c:v>
                </c:pt>
              </c:numCache>
            </c:numRef>
          </c:val>
          <c:smooth val="0"/>
          <c:extLst>
            <c:ext xmlns:c16="http://schemas.microsoft.com/office/drawing/2014/chart" uri="{C3380CC4-5D6E-409C-BE32-E72D297353CC}">
              <c16:uniqueId val="{00000000-290B-4635-B84A-1E1B74DFFDC7}"/>
            </c:ext>
          </c:extLst>
        </c:ser>
        <c:ser>
          <c:idx val="4"/>
          <c:order val="1"/>
          <c:tx>
            <c:strRef>
              <c:f>Charts!$AJ$4</c:f>
              <c:strCache>
                <c:ptCount val="1"/>
                <c:pt idx="0">
                  <c:v>VNAllshare</c:v>
                </c:pt>
              </c:strCache>
            </c:strRef>
          </c:tx>
          <c:spPr>
            <a:ln w="19050"/>
          </c:spPr>
          <c:marker>
            <c:symbol val="none"/>
          </c:marker>
          <c:cat>
            <c:numRef>
              <c:f>Charts!$AE$5:$AE$42</c:f>
              <c:numCache>
                <c:formatCode>dd/mm/yyyy</c:formatCode>
                <c:ptCount val="38"/>
                <c:pt idx="0">
                  <c:v>42489</c:v>
                </c:pt>
                <c:pt idx="1">
                  <c:v>42489</c:v>
                </c:pt>
                <c:pt idx="2">
                  <c:v>42521</c:v>
                </c:pt>
                <c:pt idx="3">
                  <c:v>42551</c:v>
                </c:pt>
                <c:pt idx="4">
                  <c:v>42580</c:v>
                </c:pt>
                <c:pt idx="5">
                  <c:v>42613</c:v>
                </c:pt>
                <c:pt idx="6">
                  <c:v>42643</c:v>
                </c:pt>
                <c:pt idx="7">
                  <c:v>42674</c:v>
                </c:pt>
                <c:pt idx="8">
                  <c:v>42704</c:v>
                </c:pt>
                <c:pt idx="9">
                  <c:v>42734</c:v>
                </c:pt>
                <c:pt idx="10">
                  <c:v>42760</c:v>
                </c:pt>
                <c:pt idx="11">
                  <c:v>42794</c:v>
                </c:pt>
                <c:pt idx="12">
                  <c:v>42825</c:v>
                </c:pt>
                <c:pt idx="13">
                  <c:v>42853</c:v>
                </c:pt>
                <c:pt idx="14">
                  <c:v>42886</c:v>
                </c:pt>
                <c:pt idx="15">
                  <c:v>42916</c:v>
                </c:pt>
                <c:pt idx="16">
                  <c:v>42947</c:v>
                </c:pt>
                <c:pt idx="17">
                  <c:v>42978</c:v>
                </c:pt>
                <c:pt idx="18">
                  <c:v>43007</c:v>
                </c:pt>
                <c:pt idx="19">
                  <c:v>43039</c:v>
                </c:pt>
                <c:pt idx="20">
                  <c:v>43069</c:v>
                </c:pt>
                <c:pt idx="21">
                  <c:v>43098</c:v>
                </c:pt>
                <c:pt idx="22">
                  <c:v>43131</c:v>
                </c:pt>
                <c:pt idx="23">
                  <c:v>43159</c:v>
                </c:pt>
                <c:pt idx="24">
                  <c:v>43189</c:v>
                </c:pt>
                <c:pt idx="25">
                  <c:v>43217</c:v>
                </c:pt>
                <c:pt idx="26">
                  <c:v>43251</c:v>
                </c:pt>
                <c:pt idx="27">
                  <c:v>43280</c:v>
                </c:pt>
                <c:pt idx="28">
                  <c:v>43312</c:v>
                </c:pt>
                <c:pt idx="29">
                  <c:v>43343</c:v>
                </c:pt>
                <c:pt idx="30">
                  <c:v>43371</c:v>
                </c:pt>
                <c:pt idx="31">
                  <c:v>43404</c:v>
                </c:pt>
                <c:pt idx="32">
                  <c:v>43434</c:v>
                </c:pt>
                <c:pt idx="33">
                  <c:v>43462</c:v>
                </c:pt>
                <c:pt idx="34">
                  <c:v>43496</c:v>
                </c:pt>
                <c:pt idx="35">
                  <c:v>43524</c:v>
                </c:pt>
                <c:pt idx="36">
                  <c:v>43553</c:v>
                </c:pt>
                <c:pt idx="37">
                  <c:v>43494</c:v>
                </c:pt>
              </c:numCache>
            </c:numRef>
          </c:cat>
          <c:val>
            <c:numRef>
              <c:f>Charts!$AJ$5:$AJ$42</c:f>
              <c:numCache>
                <c:formatCode>0.00</c:formatCode>
                <c:ptCount val="38"/>
                <c:pt idx="0">
                  <c:v>100</c:v>
                </c:pt>
                <c:pt idx="1">
                  <c:v>100</c:v>
                </c:pt>
                <c:pt idx="2">
                  <c:v>102.37369848337742</c:v>
                </c:pt>
                <c:pt idx="3">
                  <c:v>105.99283538116444</c:v>
                </c:pt>
                <c:pt idx="4">
                  <c:v>108.42679701362617</c:v>
                </c:pt>
                <c:pt idx="5">
                  <c:v>111.05828785697554</c:v>
                </c:pt>
                <c:pt idx="6">
                  <c:v>112.40081690046544</c:v>
                </c:pt>
                <c:pt idx="7">
                  <c:v>108.68124142087122</c:v>
                </c:pt>
                <c:pt idx="8">
                  <c:v>106.01794502661635</c:v>
                </c:pt>
                <c:pt idx="9">
                  <c:v>104.32053299407423</c:v>
                </c:pt>
                <c:pt idx="10">
                  <c:v>106.77290836653395</c:v>
                </c:pt>
                <c:pt idx="11">
                  <c:v>110.48746191703775</c:v>
                </c:pt>
                <c:pt idx="12">
                  <c:v>115.57467608557374</c:v>
                </c:pt>
                <c:pt idx="13">
                  <c:v>115.00719809836298</c:v>
                </c:pt>
                <c:pt idx="14">
                  <c:v>120.59660517593501</c:v>
                </c:pt>
                <c:pt idx="15">
                  <c:v>128.74719608959137</c:v>
                </c:pt>
                <c:pt idx="16">
                  <c:v>127.97884093876604</c:v>
                </c:pt>
                <c:pt idx="17">
                  <c:v>128.46931601325795</c:v>
                </c:pt>
                <c:pt idx="18">
                  <c:v>131.48749539656504</c:v>
                </c:pt>
                <c:pt idx="19">
                  <c:v>134.14074793263924</c:v>
                </c:pt>
                <c:pt idx="20">
                  <c:v>150.97258026716668</c:v>
                </c:pt>
                <c:pt idx="21">
                  <c:v>155.70825939937731</c:v>
                </c:pt>
                <c:pt idx="22">
                  <c:v>171.61605678127836</c:v>
                </c:pt>
                <c:pt idx="23">
                  <c:v>171.47879071947514</c:v>
                </c:pt>
                <c:pt idx="24">
                  <c:v>179.27449864407916</c:v>
                </c:pt>
                <c:pt idx="25">
                  <c:v>162.59332418226251</c:v>
                </c:pt>
                <c:pt idx="26">
                  <c:v>150.15065787271078</c:v>
                </c:pt>
                <c:pt idx="27">
                  <c:v>149.52291673641565</c:v>
                </c:pt>
                <c:pt idx="28">
                  <c:v>150.26616224178923</c:v>
                </c:pt>
                <c:pt idx="29">
                  <c:v>153.52874217416053</c:v>
                </c:pt>
                <c:pt idx="30">
                  <c:v>158.14222103183911</c:v>
                </c:pt>
                <c:pt idx="31">
                  <c:v>143.05132411530352</c:v>
                </c:pt>
                <c:pt idx="32">
                  <c:v>142.80190163714889</c:v>
                </c:pt>
                <c:pt idx="33">
                  <c:v>136.99655160869125</c:v>
                </c:pt>
                <c:pt idx="34">
                  <c:v>139.29157320298637</c:v>
                </c:pt>
                <c:pt idx="35">
                  <c:v>147.03036593123301</c:v>
                </c:pt>
                <c:pt idx="36">
                  <c:v>146.89142589306638</c:v>
                </c:pt>
                <c:pt idx="37">
                  <c:v>139.96953363018514</c:v>
                </c:pt>
              </c:numCache>
            </c:numRef>
          </c:val>
          <c:smooth val="0"/>
          <c:extLst>
            <c:ext xmlns:c16="http://schemas.microsoft.com/office/drawing/2014/chart" uri="{C3380CC4-5D6E-409C-BE32-E72D297353CC}">
              <c16:uniqueId val="{00000001-290B-4635-B84A-1E1B74DFFDC7}"/>
            </c:ext>
          </c:extLst>
        </c:ser>
        <c:ser>
          <c:idx val="5"/>
          <c:order val="2"/>
          <c:tx>
            <c:strRef>
              <c:f>Charts!$AK$4</c:f>
              <c:strCache>
                <c:ptCount val="1"/>
                <c:pt idx="0">
                  <c:v>VN Index</c:v>
                </c:pt>
              </c:strCache>
            </c:strRef>
          </c:tx>
          <c:spPr>
            <a:ln w="19050"/>
          </c:spPr>
          <c:marker>
            <c:symbol val="none"/>
          </c:marker>
          <c:cat>
            <c:numRef>
              <c:f>Charts!$AE$5:$AE$42</c:f>
              <c:numCache>
                <c:formatCode>dd/mm/yyyy</c:formatCode>
                <c:ptCount val="38"/>
                <c:pt idx="0">
                  <c:v>42489</c:v>
                </c:pt>
                <c:pt idx="1">
                  <c:v>42489</c:v>
                </c:pt>
                <c:pt idx="2">
                  <c:v>42521</c:v>
                </c:pt>
                <c:pt idx="3">
                  <c:v>42551</c:v>
                </c:pt>
                <c:pt idx="4">
                  <c:v>42580</c:v>
                </c:pt>
                <c:pt idx="5">
                  <c:v>42613</c:v>
                </c:pt>
                <c:pt idx="6">
                  <c:v>42643</c:v>
                </c:pt>
                <c:pt idx="7">
                  <c:v>42674</c:v>
                </c:pt>
                <c:pt idx="8">
                  <c:v>42704</c:v>
                </c:pt>
                <c:pt idx="9">
                  <c:v>42734</c:v>
                </c:pt>
                <c:pt idx="10">
                  <c:v>42760</c:v>
                </c:pt>
                <c:pt idx="11">
                  <c:v>42794</c:v>
                </c:pt>
                <c:pt idx="12">
                  <c:v>42825</c:v>
                </c:pt>
                <c:pt idx="13">
                  <c:v>42853</c:v>
                </c:pt>
                <c:pt idx="14">
                  <c:v>42886</c:v>
                </c:pt>
                <c:pt idx="15">
                  <c:v>42916</c:v>
                </c:pt>
                <c:pt idx="16">
                  <c:v>42947</c:v>
                </c:pt>
                <c:pt idx="17">
                  <c:v>42978</c:v>
                </c:pt>
                <c:pt idx="18">
                  <c:v>43007</c:v>
                </c:pt>
                <c:pt idx="19">
                  <c:v>43039</c:v>
                </c:pt>
                <c:pt idx="20">
                  <c:v>43069</c:v>
                </c:pt>
                <c:pt idx="21">
                  <c:v>43098</c:v>
                </c:pt>
                <c:pt idx="22">
                  <c:v>43131</c:v>
                </c:pt>
                <c:pt idx="23">
                  <c:v>43159</c:v>
                </c:pt>
                <c:pt idx="24">
                  <c:v>43189</c:v>
                </c:pt>
                <c:pt idx="25">
                  <c:v>43217</c:v>
                </c:pt>
                <c:pt idx="26">
                  <c:v>43251</c:v>
                </c:pt>
                <c:pt idx="27">
                  <c:v>43280</c:v>
                </c:pt>
                <c:pt idx="28">
                  <c:v>43312</c:v>
                </c:pt>
                <c:pt idx="29">
                  <c:v>43343</c:v>
                </c:pt>
                <c:pt idx="30">
                  <c:v>43371</c:v>
                </c:pt>
                <c:pt idx="31">
                  <c:v>43404</c:v>
                </c:pt>
                <c:pt idx="32">
                  <c:v>43434</c:v>
                </c:pt>
                <c:pt idx="33">
                  <c:v>43462</c:v>
                </c:pt>
                <c:pt idx="34">
                  <c:v>43496</c:v>
                </c:pt>
                <c:pt idx="35">
                  <c:v>43524</c:v>
                </c:pt>
                <c:pt idx="36">
                  <c:v>43553</c:v>
                </c:pt>
                <c:pt idx="37">
                  <c:v>43494</c:v>
                </c:pt>
              </c:numCache>
            </c:numRef>
          </c:cat>
          <c:val>
            <c:numRef>
              <c:f>Charts!$AK$5:$AK$42</c:f>
              <c:numCache>
                <c:formatCode>0.00</c:formatCode>
                <c:ptCount val="38"/>
                <c:pt idx="0">
                  <c:v>100</c:v>
                </c:pt>
                <c:pt idx="1">
                  <c:v>100</c:v>
                </c:pt>
                <c:pt idx="2">
                  <c:v>103.35411200427833</c:v>
                </c:pt>
                <c:pt idx="3">
                  <c:v>105.6637197720474</c:v>
                </c:pt>
                <c:pt idx="4">
                  <c:v>109.00111970854152</c:v>
                </c:pt>
                <c:pt idx="5">
                  <c:v>112.74462289219043</c:v>
                </c:pt>
                <c:pt idx="6">
                  <c:v>114.59966241623073</c:v>
                </c:pt>
                <c:pt idx="7">
                  <c:v>112.94015408526491</c:v>
                </c:pt>
                <c:pt idx="8">
                  <c:v>111.14694921202596</c:v>
                </c:pt>
                <c:pt idx="9">
                  <c:v>111.11352507645768</c:v>
                </c:pt>
                <c:pt idx="10">
                  <c:v>116.52990624529973</c:v>
                </c:pt>
                <c:pt idx="11">
                  <c:v>118.78770660293794</c:v>
                </c:pt>
                <c:pt idx="12">
                  <c:v>120.71293681167171</c:v>
                </c:pt>
                <c:pt idx="13">
                  <c:v>119.94752410715779</c:v>
                </c:pt>
                <c:pt idx="14">
                  <c:v>123.30497852499288</c:v>
                </c:pt>
                <c:pt idx="15">
                  <c:v>129.76419272356557</c:v>
                </c:pt>
                <c:pt idx="16">
                  <c:v>130.94740712268322</c:v>
                </c:pt>
                <c:pt idx="17">
                  <c:v>130.81538178718839</c:v>
                </c:pt>
                <c:pt idx="18">
                  <c:v>134.43521566923468</c:v>
                </c:pt>
                <c:pt idx="19">
                  <c:v>139.92680114310542</c:v>
                </c:pt>
                <c:pt idx="20">
                  <c:v>158.75294550194695</c:v>
                </c:pt>
                <c:pt idx="21">
                  <c:v>164.48685595868781</c:v>
                </c:pt>
                <c:pt idx="22">
                  <c:v>185.56411584805394</c:v>
                </c:pt>
                <c:pt idx="23">
                  <c:v>187.43252502632166</c:v>
                </c:pt>
                <c:pt idx="24">
                  <c:v>196.27655129769221</c:v>
                </c:pt>
                <c:pt idx="25">
                  <c:v>175.52016310978169</c:v>
                </c:pt>
                <c:pt idx="26">
                  <c:v>162.31595835352726</c:v>
                </c:pt>
                <c:pt idx="27">
                  <c:v>160.56620485652701</c:v>
                </c:pt>
                <c:pt idx="28">
                  <c:v>159.83254508080287</c:v>
                </c:pt>
                <c:pt idx="29">
                  <c:v>165.37259555124757</c:v>
                </c:pt>
                <c:pt idx="30">
                  <c:v>169.98345505289385</c:v>
                </c:pt>
                <c:pt idx="31">
                  <c:v>152.87531126226258</c:v>
                </c:pt>
                <c:pt idx="32">
                  <c:v>154.84399284723503</c:v>
                </c:pt>
                <c:pt idx="33">
                  <c:v>149.16188980062506</c:v>
                </c:pt>
                <c:pt idx="34">
                  <c:v>152.18844527633414</c:v>
                </c:pt>
                <c:pt idx="35">
                  <c:v>161.35000083560357</c:v>
                </c:pt>
                <c:pt idx="36">
                  <c:v>163.90527599979961</c:v>
                </c:pt>
                <c:pt idx="37">
                  <c:v>153.0708424553371</c:v>
                </c:pt>
              </c:numCache>
            </c:numRef>
          </c:val>
          <c:smooth val="0"/>
          <c:extLst>
            <c:ext xmlns:c16="http://schemas.microsoft.com/office/drawing/2014/chart" uri="{C3380CC4-5D6E-409C-BE32-E72D297353CC}">
              <c16:uniqueId val="{00000002-290B-4635-B84A-1E1B74DFFDC7}"/>
            </c:ext>
          </c:extLst>
        </c:ser>
        <c:dLbls>
          <c:showLegendKey val="0"/>
          <c:showVal val="0"/>
          <c:showCatName val="0"/>
          <c:showSerName val="0"/>
          <c:showPercent val="0"/>
          <c:showBubbleSize val="0"/>
        </c:dLbls>
        <c:smooth val="0"/>
        <c:axId val="119596544"/>
        <c:axId val="119598080"/>
      </c:lineChart>
      <c:dateAx>
        <c:axId val="119596544"/>
        <c:scaling>
          <c:orientation val="minMax"/>
        </c:scaling>
        <c:delete val="0"/>
        <c:axPos val="b"/>
        <c:numFmt formatCode="dd/mm/yyyy" sourceLinked="1"/>
        <c:majorTickMark val="out"/>
        <c:minorTickMark val="none"/>
        <c:tickLblPos val="nextTo"/>
        <c:txPr>
          <a:bodyPr/>
          <a:lstStyle/>
          <a:p>
            <a:pPr>
              <a:defRPr sz="700">
                <a:latin typeface="Times New Roman" pitchFamily="18" charset="0"/>
                <a:cs typeface="Times New Roman" pitchFamily="18" charset="0"/>
              </a:defRPr>
            </a:pPr>
            <a:endParaRPr lang="en-US"/>
          </a:p>
        </c:txPr>
        <c:crossAx val="119598080"/>
        <c:crosses val="autoZero"/>
        <c:auto val="1"/>
        <c:lblOffset val="100"/>
        <c:baseTimeUnit val="days"/>
        <c:majorUnit val="1"/>
        <c:majorTimeUnit val="years"/>
        <c:minorUnit val="1"/>
        <c:minorTimeUnit val="years"/>
      </c:dateAx>
      <c:valAx>
        <c:axId val="119598080"/>
        <c:scaling>
          <c:orientation val="minMax"/>
          <c:min val="80"/>
        </c:scaling>
        <c:delete val="0"/>
        <c:axPos val="l"/>
        <c:numFmt formatCode="0" sourceLinked="0"/>
        <c:majorTickMark val="out"/>
        <c:minorTickMark val="none"/>
        <c:tickLblPos val="nextTo"/>
        <c:txPr>
          <a:bodyPr/>
          <a:lstStyle/>
          <a:p>
            <a:pPr>
              <a:defRPr sz="700">
                <a:latin typeface="Times New Roman" pitchFamily="18" charset="0"/>
                <a:cs typeface="Times New Roman" pitchFamily="18" charset="0"/>
              </a:defRPr>
            </a:pPr>
            <a:endParaRPr lang="en-US"/>
          </a:p>
        </c:txPr>
        <c:crossAx val="119596544"/>
        <c:crosses val="autoZero"/>
        <c:crossBetween val="between"/>
      </c:valAx>
    </c:plotArea>
    <c:legend>
      <c:legendPos val="r"/>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0.05444</cdr:x>
      <cdr:y>0.92351</cdr:y>
    </cdr:from>
    <cdr:to>
      <cdr:x>0.78011</cdr:x>
      <cdr:y>1</cdr:y>
    </cdr:to>
    <cdr:sp macro="" textlink="">
      <cdr:nvSpPr>
        <cdr:cNvPr id="2" name="TextBox 1"/>
        <cdr:cNvSpPr txBox="1"/>
      </cdr:nvSpPr>
      <cdr:spPr>
        <a:xfrm xmlns:a="http://schemas.openxmlformats.org/drawingml/2006/main">
          <a:off x="285750" y="1905000"/>
          <a:ext cx="3808777" cy="1562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fld id="{745A683A-D6F4-4B7A-833B-2D603C41188A}" type="TxLink">
            <a:rPr lang="en-US" sz="700" b="0" i="0" u="none" strike="noStrike">
              <a:solidFill>
                <a:srgbClr val="000000"/>
              </a:solidFill>
              <a:latin typeface="Times New Roman" pitchFamily="18" charset="0"/>
              <a:cs typeface="Times New Roman" pitchFamily="18" charset="0"/>
            </a:rPr>
            <a:pPr/>
            <a:t>* Indices values are simulatedly rebased to 100 at 31/05/2016</a:t>
          </a:fld>
          <a:endParaRPr lang="en-US" sz="7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0.05444</cdr:x>
      <cdr:y>0.89884</cdr:y>
    </cdr:from>
    <cdr:to>
      <cdr:x>0.98316</cdr:x>
      <cdr:y>0.97533</cdr:y>
    </cdr:to>
    <cdr:sp macro="" textlink="">
      <cdr:nvSpPr>
        <cdr:cNvPr id="2" name="TextBox 1"/>
        <cdr:cNvSpPr txBox="1"/>
      </cdr:nvSpPr>
      <cdr:spPr>
        <a:xfrm xmlns:a="http://schemas.openxmlformats.org/drawingml/2006/main">
          <a:off x="208331" y="1388169"/>
          <a:ext cx="3554044" cy="1181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fld id="{745A683A-D6F4-4B7A-833B-2D603C41188A}" type="TxLink">
            <a:rPr lang="en-US" sz="700" b="0" i="0" u="none" strike="noStrike">
              <a:solidFill>
                <a:srgbClr val="000000"/>
              </a:solidFill>
              <a:latin typeface="Times New Roman" pitchFamily="18" charset="0"/>
              <a:cs typeface="Times New Roman" pitchFamily="18" charset="0"/>
            </a:rPr>
            <a:pPr/>
            <a:t>* Indices values are simulatedly rebased to 100 at 29/04/2016</a:t>
          </a:fld>
          <a:endParaRPr lang="en-US" sz="7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0.05444</cdr:x>
      <cdr:y>0.89884</cdr:y>
    </cdr:from>
    <cdr:to>
      <cdr:x>0.98316</cdr:x>
      <cdr:y>0.97533</cdr:y>
    </cdr:to>
    <cdr:sp macro="" textlink="">
      <cdr:nvSpPr>
        <cdr:cNvPr id="2" name="TextBox 1"/>
        <cdr:cNvSpPr txBox="1"/>
      </cdr:nvSpPr>
      <cdr:spPr>
        <a:xfrm xmlns:a="http://schemas.openxmlformats.org/drawingml/2006/main">
          <a:off x="208331" y="1388169"/>
          <a:ext cx="3554026" cy="1181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fld id="{745A683A-D6F4-4B7A-833B-2D603C41188A}" type="TxLink">
            <a:rPr lang="en-US" sz="700" b="0" i="0" u="none" strike="noStrike">
              <a:solidFill>
                <a:srgbClr val="000000"/>
              </a:solidFill>
              <a:latin typeface="Times New Roman" pitchFamily="18" charset="0"/>
              <a:cs typeface="Times New Roman" pitchFamily="18" charset="0"/>
            </a:rPr>
            <a:pPr/>
            <a:t>* Indices values are simulatedly rebased to 100 at 29/04/2016</a:t>
          </a:fld>
          <a:endParaRPr lang="en-US" sz="700">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0.05195</cdr:x>
      <cdr:y>0.89861</cdr:y>
    </cdr:from>
    <cdr:to>
      <cdr:x>0.98067</cdr:x>
      <cdr:y>0.9751</cdr:y>
    </cdr:to>
    <cdr:sp macro="" textlink="">
      <cdr:nvSpPr>
        <cdr:cNvPr id="2" name="TextBox 1"/>
        <cdr:cNvSpPr txBox="1"/>
      </cdr:nvSpPr>
      <cdr:spPr>
        <a:xfrm xmlns:a="http://schemas.openxmlformats.org/drawingml/2006/main">
          <a:off x="198806" y="1374870"/>
          <a:ext cx="3554026" cy="1170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fld id="{745A683A-D6F4-4B7A-833B-2D603C41188A}" type="TxLink">
            <a:rPr lang="en-US" sz="700" b="0" i="0" u="none" strike="noStrike">
              <a:solidFill>
                <a:srgbClr val="000000"/>
              </a:solidFill>
              <a:latin typeface="Times New Roman" pitchFamily="18" charset="0"/>
              <a:cs typeface="Times New Roman" pitchFamily="18" charset="0"/>
            </a:rPr>
            <a:pPr/>
            <a:t>* Indices values are simulatedly rebased to 100 at 29/04/2016</a:t>
          </a:fld>
          <a:endParaRPr lang="en-US" sz="7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0.05195</cdr:x>
      <cdr:y>0.89861</cdr:y>
    </cdr:from>
    <cdr:to>
      <cdr:x>0.98067</cdr:x>
      <cdr:y>0.9751</cdr:y>
    </cdr:to>
    <cdr:sp macro="" textlink="">
      <cdr:nvSpPr>
        <cdr:cNvPr id="2" name="TextBox 1"/>
        <cdr:cNvSpPr txBox="1"/>
      </cdr:nvSpPr>
      <cdr:spPr>
        <a:xfrm xmlns:a="http://schemas.openxmlformats.org/drawingml/2006/main">
          <a:off x="198806" y="1374870"/>
          <a:ext cx="3554026" cy="1170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fld id="{745A683A-D6F4-4B7A-833B-2D603C41188A}" type="TxLink">
            <a:rPr lang="en-US" sz="700" b="0" i="0" u="none" strike="noStrike">
              <a:solidFill>
                <a:srgbClr val="000000"/>
              </a:solidFill>
              <a:latin typeface="Times New Roman" pitchFamily="18" charset="0"/>
              <a:cs typeface="Times New Roman" pitchFamily="18" charset="0"/>
            </a:rPr>
            <a:pPr/>
            <a:t>* Indices values are simulatedly rebased to 100 at 29/02/2016</a:t>
          </a:fld>
          <a:endParaRPr lang="en-US" sz="700">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0.04946</cdr:x>
      <cdr:y>0.89238</cdr:y>
    </cdr:from>
    <cdr:to>
      <cdr:x>0.97818</cdr:x>
      <cdr:y>0.96887</cdr:y>
    </cdr:to>
    <cdr:sp macro="" textlink="">
      <cdr:nvSpPr>
        <cdr:cNvPr id="2" name="TextBox 1"/>
        <cdr:cNvSpPr txBox="1"/>
      </cdr:nvSpPr>
      <cdr:spPr>
        <a:xfrm xmlns:a="http://schemas.openxmlformats.org/drawingml/2006/main">
          <a:off x="189281" y="1365345"/>
          <a:ext cx="3554026" cy="1170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fld id="{745A683A-D6F4-4B7A-833B-2D603C41188A}" type="TxLink">
            <a:rPr lang="en-US" sz="700" b="0" i="0" u="none" strike="noStrike">
              <a:solidFill>
                <a:srgbClr val="000000"/>
              </a:solidFill>
              <a:latin typeface="Times New Roman" pitchFamily="18" charset="0"/>
              <a:cs typeface="Times New Roman" pitchFamily="18" charset="0"/>
            </a:rPr>
            <a:pPr/>
            <a:t>* Indices values are simulatedly rebased to 100 at 29/04/2016</a:t>
          </a:fld>
          <a:endParaRPr lang="en-US" sz="7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0.04946</cdr:x>
      <cdr:y>0.90483</cdr:y>
    </cdr:from>
    <cdr:to>
      <cdr:x>0.97818</cdr:x>
      <cdr:y>0.98132</cdr:y>
    </cdr:to>
    <cdr:sp macro="" textlink="">
      <cdr:nvSpPr>
        <cdr:cNvPr id="2" name="TextBox 1"/>
        <cdr:cNvSpPr txBox="1"/>
      </cdr:nvSpPr>
      <cdr:spPr>
        <a:xfrm xmlns:a="http://schemas.openxmlformats.org/drawingml/2006/main">
          <a:off x="189281" y="1384395"/>
          <a:ext cx="3554026" cy="1170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fld id="{745A683A-D6F4-4B7A-833B-2D603C41188A}" type="TxLink">
            <a:rPr lang="en-US" sz="700" b="0" i="0" u="none" strike="noStrike">
              <a:solidFill>
                <a:srgbClr val="000000"/>
              </a:solidFill>
              <a:latin typeface="Times New Roman" pitchFamily="18" charset="0"/>
              <a:cs typeface="Times New Roman" pitchFamily="18" charset="0"/>
            </a:rPr>
            <a:pPr/>
            <a:t>* Indices values are simulatedly rebased to 100 at 29/04/2016</a:t>
          </a:fld>
          <a:endParaRPr lang="en-US" sz="7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4776B-D45D-4DE4-B83B-4B1F3E3F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HCM Exchange Stock</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 Minh Tai</dc:creator>
  <cp:lastModifiedBy>Nguyen Thi Minh Hoang</cp:lastModifiedBy>
  <cp:revision>2</cp:revision>
  <cp:lastPrinted>2019-05-10T06:43:00Z</cp:lastPrinted>
  <dcterms:created xsi:type="dcterms:W3CDTF">2019-06-05T04:13:00Z</dcterms:created>
  <dcterms:modified xsi:type="dcterms:W3CDTF">2019-06-05T04:13:00Z</dcterms:modified>
</cp:coreProperties>
</file>