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878"/>
        <w:gridCol w:w="104"/>
        <w:gridCol w:w="1802"/>
        <w:gridCol w:w="2592"/>
      </w:tblGrid>
      <w:tr w:rsidR="00CF648E" w:rsidRPr="006D2F55" w:rsidTr="00762FBE">
        <w:trPr>
          <w:trHeight w:val="838"/>
          <w:jc w:val="center"/>
        </w:trPr>
        <w:tc>
          <w:tcPr>
            <w:tcW w:w="8784" w:type="dxa"/>
            <w:gridSpan w:val="3"/>
            <w:tcBorders>
              <w:right w:val="single" w:sz="4" w:space="0" w:color="FFFFFF" w:themeColor="background1"/>
            </w:tcBorders>
            <w:shd w:val="clear" w:color="auto" w:fill="0070C0"/>
            <w:vAlign w:val="center"/>
          </w:tcPr>
          <w:p w:rsidR="00CF648E" w:rsidRPr="006D2F55" w:rsidRDefault="001875B0" w:rsidP="00ED22AA">
            <w:pPr>
              <w:rPr>
                <w:rFonts w:ascii="Times New Roman" w:hAnsi="Times New Roman" w:cs="Times New Roman"/>
                <w:b/>
                <w:color w:val="FFFFFF" w:themeColor="background1"/>
                <w:sz w:val="52"/>
                <w:szCs w:val="52"/>
              </w:rPr>
            </w:pPr>
            <w:proofErr w:type="spellStart"/>
            <w:r>
              <w:rPr>
                <w:rFonts w:ascii="Times New Roman" w:hAnsi="Times New Roman" w:cs="Times New Roman"/>
                <w:b/>
                <w:color w:val="FFFFFF" w:themeColor="background1"/>
                <w:sz w:val="44"/>
                <w:szCs w:val="52"/>
              </w:rPr>
              <w:t>VNAllshare</w:t>
            </w:r>
            <w:proofErr w:type="spellEnd"/>
            <w:r>
              <w:rPr>
                <w:rFonts w:ascii="Times New Roman" w:hAnsi="Times New Roman" w:cs="Times New Roman"/>
                <w:b/>
                <w:color w:val="FFFFFF" w:themeColor="background1"/>
                <w:sz w:val="44"/>
                <w:szCs w:val="52"/>
              </w:rPr>
              <w:t xml:space="preserve"> </w:t>
            </w:r>
            <w:r w:rsidR="007F7697" w:rsidRPr="007F7697">
              <w:rPr>
                <w:rFonts w:ascii="Times New Roman" w:hAnsi="Times New Roman" w:cs="Times New Roman"/>
                <w:b/>
                <w:color w:val="FFFFFF" w:themeColor="background1"/>
                <w:sz w:val="44"/>
                <w:szCs w:val="52"/>
              </w:rPr>
              <w:t>Sector Indices</w:t>
            </w:r>
          </w:p>
        </w:tc>
        <w:tc>
          <w:tcPr>
            <w:tcW w:w="2592" w:type="dxa"/>
            <w:tcBorders>
              <w:left w:val="single" w:sz="4" w:space="0" w:color="FFFFFF" w:themeColor="background1"/>
            </w:tcBorders>
            <w:shd w:val="clear" w:color="auto" w:fill="0070C0"/>
            <w:vAlign w:val="bottom"/>
          </w:tcPr>
          <w:p w:rsidR="00CF648E" w:rsidRPr="00D6169B" w:rsidRDefault="00F444AF" w:rsidP="00732E0F">
            <w:pPr>
              <w:spacing w:after="120"/>
              <w:jc w:val="right"/>
              <w:rPr>
                <w:rFonts w:ascii="Times New Roman" w:eastAsia="Times New Roman" w:hAnsi="Times New Roman" w:cs="Times New Roman"/>
                <w:b/>
                <w:color w:val="FFFFFF" w:themeColor="background1"/>
                <w:sz w:val="18"/>
                <w:szCs w:val="18"/>
              </w:rPr>
            </w:pPr>
            <w:r w:rsidRPr="00D6169B">
              <w:rPr>
                <w:rFonts w:ascii="Times New Roman" w:eastAsia="Times New Roman" w:hAnsi="Times New Roman" w:cs="Times New Roman"/>
                <w:b/>
                <w:color w:val="FFFFFF" w:themeColor="background1"/>
                <w:sz w:val="18"/>
                <w:szCs w:val="18"/>
              </w:rPr>
              <w:t xml:space="preserve">Data as at: </w:t>
            </w:r>
            <w:r w:rsidR="00DF583B">
              <w:rPr>
                <w:rFonts w:ascii="Times New Roman" w:eastAsia="Times New Roman" w:hAnsi="Times New Roman" w:cs="Times New Roman"/>
                <w:b/>
                <w:color w:val="FFFFFF" w:themeColor="background1"/>
                <w:sz w:val="18"/>
                <w:szCs w:val="18"/>
              </w:rPr>
              <w:t>31</w:t>
            </w:r>
            <w:r w:rsidR="00BF20EA">
              <w:rPr>
                <w:rFonts w:ascii="Times New Roman" w:eastAsia="Times New Roman" w:hAnsi="Times New Roman" w:cs="Times New Roman"/>
                <w:b/>
                <w:color w:val="FFFFFF" w:themeColor="background1"/>
                <w:sz w:val="18"/>
                <w:szCs w:val="18"/>
              </w:rPr>
              <w:t xml:space="preserve"> </w:t>
            </w:r>
            <w:r w:rsidR="00DF583B">
              <w:rPr>
                <w:rFonts w:ascii="Times New Roman" w:eastAsia="Times New Roman" w:hAnsi="Times New Roman" w:cs="Times New Roman"/>
                <w:b/>
                <w:color w:val="FFFFFF" w:themeColor="background1"/>
                <w:sz w:val="18"/>
                <w:szCs w:val="18"/>
              </w:rPr>
              <w:t>May</w:t>
            </w:r>
            <w:r w:rsidR="00FD535B">
              <w:rPr>
                <w:rFonts w:ascii="Times New Roman" w:eastAsia="Times New Roman" w:hAnsi="Times New Roman" w:cs="Times New Roman"/>
                <w:b/>
                <w:color w:val="FFFFFF" w:themeColor="background1"/>
                <w:sz w:val="18"/>
                <w:szCs w:val="18"/>
              </w:rPr>
              <w:t xml:space="preserve"> 2</w:t>
            </w:r>
            <w:r w:rsidR="001875B0" w:rsidRPr="00D6169B">
              <w:rPr>
                <w:rFonts w:ascii="Times New Roman" w:eastAsia="Times New Roman" w:hAnsi="Times New Roman" w:cs="Times New Roman"/>
                <w:b/>
                <w:color w:val="FFFFFF" w:themeColor="background1"/>
                <w:sz w:val="18"/>
                <w:szCs w:val="18"/>
              </w:rPr>
              <w:t>01</w:t>
            </w:r>
            <w:r w:rsidR="003979AD">
              <w:rPr>
                <w:rFonts w:ascii="Times New Roman" w:eastAsia="Times New Roman" w:hAnsi="Times New Roman" w:cs="Times New Roman"/>
                <w:b/>
                <w:color w:val="FFFFFF" w:themeColor="background1"/>
                <w:sz w:val="18"/>
                <w:szCs w:val="18"/>
              </w:rPr>
              <w:t>9</w:t>
            </w:r>
          </w:p>
        </w:tc>
      </w:tr>
      <w:tr w:rsidR="00CF648E" w:rsidRPr="006D2F55" w:rsidTr="00446F9E">
        <w:trPr>
          <w:trHeight w:hRule="exact" w:val="528"/>
          <w:jc w:val="center"/>
        </w:trPr>
        <w:tc>
          <w:tcPr>
            <w:tcW w:w="11376" w:type="dxa"/>
            <w:gridSpan w:val="4"/>
            <w:vAlign w:val="center"/>
          </w:tcPr>
          <w:p w:rsidR="00CF648E" w:rsidRPr="00F444AF" w:rsidRDefault="00F444AF" w:rsidP="00D21E1A">
            <w:pPr>
              <w:rPr>
                <w:noProof/>
              </w:rPr>
            </w:pPr>
            <w:proofErr w:type="spellStart"/>
            <w:r w:rsidRPr="00F444AF">
              <w:rPr>
                <w:rFonts w:ascii="Times New Roman" w:hAnsi="Times New Roman" w:cs="Times New Roman"/>
                <w:b/>
                <w:sz w:val="16"/>
                <w:szCs w:val="16"/>
              </w:rPr>
              <w:t>VNAllshare</w:t>
            </w:r>
            <w:proofErr w:type="spellEnd"/>
            <w:r w:rsidRPr="00F444AF">
              <w:rPr>
                <w:rFonts w:ascii="Times New Roman" w:hAnsi="Times New Roman" w:cs="Times New Roman"/>
                <w:b/>
                <w:sz w:val="16"/>
                <w:szCs w:val="16"/>
              </w:rPr>
              <w:t xml:space="preserve"> Sector Indices </w:t>
            </w:r>
            <w:r w:rsidRPr="00F444AF">
              <w:rPr>
                <w:rFonts w:ascii="Times New Roman" w:hAnsi="Times New Roman" w:cs="Times New Roman"/>
                <w:sz w:val="16"/>
                <w:szCs w:val="16"/>
              </w:rPr>
              <w:t xml:space="preserve">is a series of sector index comprised of constituents from </w:t>
            </w:r>
            <w:proofErr w:type="spellStart"/>
            <w:r w:rsidRPr="00F444AF">
              <w:rPr>
                <w:rFonts w:ascii="Times New Roman" w:hAnsi="Times New Roman" w:cs="Times New Roman"/>
                <w:sz w:val="16"/>
                <w:szCs w:val="16"/>
              </w:rPr>
              <w:t>VNAllshare</w:t>
            </w:r>
            <w:proofErr w:type="spellEnd"/>
            <w:r w:rsidRPr="00F444AF">
              <w:rPr>
                <w:rFonts w:ascii="Times New Roman" w:hAnsi="Times New Roman" w:cs="Times New Roman"/>
                <w:sz w:val="16"/>
                <w:szCs w:val="16"/>
              </w:rPr>
              <w:t xml:space="preserve"> which categorized according to the Global Industry Classification Standard (GICS®).</w:t>
            </w:r>
          </w:p>
        </w:tc>
      </w:tr>
      <w:tr w:rsidR="003F61B6" w:rsidRPr="006D2F55" w:rsidTr="00762FBE">
        <w:trPr>
          <w:trHeight w:val="352"/>
          <w:jc w:val="center"/>
        </w:trPr>
        <w:tc>
          <w:tcPr>
            <w:tcW w:w="6878" w:type="dxa"/>
            <w:shd w:val="clear" w:color="auto" w:fill="0070C0"/>
            <w:vAlign w:val="center"/>
          </w:tcPr>
          <w:p w:rsidR="003F61B6" w:rsidRPr="006D2F55" w:rsidRDefault="00D21F4E" w:rsidP="00D21F4E">
            <w:pPr>
              <w:rPr>
                <w:rFonts w:ascii="Times New Roman" w:hAnsi="Times New Roman" w:cs="Times New Roman"/>
              </w:rPr>
            </w:pPr>
            <w:r>
              <w:rPr>
                <w:rFonts w:ascii="Times New Roman" w:hAnsi="Times New Roman" w:cs="Times New Roman"/>
                <w:b/>
                <w:color w:val="FFFFFF" w:themeColor="background1"/>
              </w:rPr>
              <w:t>Top-</w:t>
            </w:r>
            <w:r w:rsidR="00AA60BF">
              <w:rPr>
                <w:rFonts w:ascii="Times New Roman" w:hAnsi="Times New Roman" w:cs="Times New Roman"/>
                <w:b/>
                <w:color w:val="FFFFFF" w:themeColor="background1"/>
              </w:rPr>
              <w:t xml:space="preserve">5 </w:t>
            </w:r>
            <w:r>
              <w:rPr>
                <w:rFonts w:ascii="Times New Roman" w:hAnsi="Times New Roman" w:cs="Times New Roman"/>
                <w:b/>
                <w:color w:val="FFFFFF" w:themeColor="background1"/>
              </w:rPr>
              <w:t>S</w:t>
            </w:r>
            <w:r w:rsidR="00F444AF">
              <w:rPr>
                <w:rFonts w:ascii="Times New Roman" w:hAnsi="Times New Roman" w:cs="Times New Roman"/>
                <w:b/>
                <w:color w:val="FFFFFF" w:themeColor="background1"/>
              </w:rPr>
              <w:t>ector</w:t>
            </w:r>
            <w:r>
              <w:rPr>
                <w:rFonts w:ascii="Times New Roman" w:hAnsi="Times New Roman" w:cs="Times New Roman"/>
                <w:b/>
                <w:color w:val="FFFFFF" w:themeColor="background1"/>
              </w:rPr>
              <w:t>s</w:t>
            </w:r>
            <w:r w:rsidR="00F444AF">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of P</w:t>
            </w:r>
            <w:r w:rsidR="00F444AF">
              <w:rPr>
                <w:rFonts w:ascii="Times New Roman" w:hAnsi="Times New Roman" w:cs="Times New Roman"/>
                <w:b/>
                <w:color w:val="FFFFFF" w:themeColor="background1"/>
              </w:rPr>
              <w:t>erfo</w:t>
            </w:r>
            <w:r>
              <w:rPr>
                <w:rFonts w:ascii="Times New Roman" w:hAnsi="Times New Roman" w:cs="Times New Roman"/>
                <w:b/>
                <w:color w:val="FFFFFF" w:themeColor="background1"/>
              </w:rPr>
              <w:t>r</w:t>
            </w:r>
            <w:r w:rsidR="00F444AF">
              <w:rPr>
                <w:rFonts w:ascii="Times New Roman" w:hAnsi="Times New Roman" w:cs="Times New Roman"/>
                <w:b/>
                <w:color w:val="FFFFFF" w:themeColor="background1"/>
              </w:rPr>
              <w:t>mance</w:t>
            </w:r>
          </w:p>
        </w:tc>
        <w:tc>
          <w:tcPr>
            <w:tcW w:w="1906" w:type="dxa"/>
            <w:gridSpan w:val="2"/>
            <w:shd w:val="clear" w:color="auto" w:fill="auto"/>
            <w:vAlign w:val="center"/>
          </w:tcPr>
          <w:p w:rsidR="003F61B6" w:rsidRPr="006D2F55" w:rsidRDefault="003F61B6" w:rsidP="00C84839">
            <w:pPr>
              <w:jc w:val="center"/>
              <w:rPr>
                <w:rFonts w:ascii="Times New Roman" w:hAnsi="Times New Roman" w:cs="Times New Roman"/>
              </w:rPr>
            </w:pPr>
          </w:p>
        </w:tc>
        <w:tc>
          <w:tcPr>
            <w:tcW w:w="2592" w:type="dxa"/>
            <w:shd w:val="clear" w:color="auto" w:fill="0070C0"/>
            <w:vAlign w:val="center"/>
          </w:tcPr>
          <w:p w:rsidR="003F61B6" w:rsidRPr="003F61B6" w:rsidRDefault="00F444AF" w:rsidP="003F61B6">
            <w:pPr>
              <w:rPr>
                <w:rFonts w:ascii="Times New Roman" w:hAnsi="Times New Roman" w:cs="Times New Roman"/>
                <w:color w:val="FFFFFF" w:themeColor="background1"/>
              </w:rPr>
            </w:pPr>
            <w:r>
              <w:rPr>
                <w:rFonts w:ascii="Times New Roman" w:hAnsi="Times New Roman" w:cs="Times New Roman"/>
                <w:b/>
                <w:color w:val="FFFFFF" w:themeColor="background1"/>
              </w:rPr>
              <w:t>Information</w:t>
            </w:r>
          </w:p>
        </w:tc>
      </w:tr>
      <w:tr w:rsidR="003F61B6" w:rsidRPr="006D2F55" w:rsidTr="00691BC3">
        <w:tblPrEx>
          <w:tblCellMar>
            <w:left w:w="108" w:type="dxa"/>
            <w:right w:w="108" w:type="dxa"/>
          </w:tblCellMar>
        </w:tblPrEx>
        <w:trPr>
          <w:trHeight w:hRule="exact" w:val="4008"/>
          <w:jc w:val="center"/>
        </w:trPr>
        <w:tc>
          <w:tcPr>
            <w:tcW w:w="8784" w:type="dxa"/>
            <w:gridSpan w:val="3"/>
          </w:tcPr>
          <w:p w:rsidR="003F61B6" w:rsidRPr="006D2F55" w:rsidRDefault="00DF583B" w:rsidP="00954FA3">
            <w:pPr>
              <w:rPr>
                <w:rFonts w:ascii="Times New Roman" w:hAnsi="Times New Roman" w:cs="Times New Roman"/>
              </w:rPr>
            </w:pPr>
            <w:r>
              <w:rPr>
                <w:rFonts w:ascii="Times New Roman" w:hAnsi="Times New Roman" w:cs="Times New Roman"/>
                <w:noProof/>
              </w:rPr>
              <w:drawing>
                <wp:inline distT="0" distB="0" distL="0" distR="0" wp14:anchorId="2781AAC2">
                  <wp:extent cx="5309870" cy="24206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870" cy="2420620"/>
                          </a:xfrm>
                          <a:prstGeom prst="rect">
                            <a:avLst/>
                          </a:prstGeom>
                          <a:noFill/>
                        </pic:spPr>
                      </pic:pic>
                    </a:graphicData>
                  </a:graphic>
                </wp:inline>
              </w:drawing>
            </w:r>
            <w:r w:rsidR="00691BC3">
              <w:rPr>
                <w:noProof/>
              </w:rPr>
              <w:drawing>
                <wp:inline distT="0" distB="0" distL="0" distR="0" wp14:anchorId="51EE7996" wp14:editId="5EE51FF7">
                  <wp:extent cx="5313829" cy="2422712"/>
                  <wp:effectExtent l="0" t="0" r="1270" b="15875"/>
                  <wp:docPr id="1" name="Chart 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592" w:type="dxa"/>
          </w:tcPr>
          <w:p w:rsidR="003F61B6" w:rsidRPr="00F017F2" w:rsidRDefault="00B55DD2" w:rsidP="00B55DD2">
            <w:pPr>
              <w:spacing w:line="276" w:lineRule="auto"/>
              <w:rPr>
                <w:rFonts w:ascii="Times New Roman" w:hAnsi="Times New Roman" w:cs="Times New Roman"/>
                <w:b/>
                <w:sz w:val="20"/>
                <w:szCs w:val="20"/>
              </w:rPr>
            </w:pPr>
            <w:r>
              <w:rPr>
                <w:rFonts w:ascii="Times New Roman" w:hAnsi="Times New Roman" w:cs="Times New Roman"/>
                <w:b/>
                <w:sz w:val="20"/>
                <w:szCs w:val="20"/>
              </w:rPr>
              <w:t xml:space="preserve">Base </w:t>
            </w:r>
            <w:r w:rsidR="00F017F2" w:rsidRPr="00F017F2">
              <w:rPr>
                <w:rFonts w:ascii="Times New Roman" w:hAnsi="Times New Roman" w:cs="Times New Roman"/>
                <w:b/>
                <w:sz w:val="20"/>
                <w:szCs w:val="20"/>
              </w:rPr>
              <w:t>Date</w:t>
            </w:r>
            <w:r w:rsidR="003F61B6" w:rsidRPr="00F017F2">
              <w:rPr>
                <w:rFonts w:ascii="Times New Roman" w:hAnsi="Times New Roman" w:cs="Times New Roman"/>
                <w:b/>
                <w:sz w:val="20"/>
                <w:szCs w:val="20"/>
              </w:rPr>
              <w:t xml:space="preserve">: </w:t>
            </w:r>
            <w:r w:rsidR="003F61B6" w:rsidRPr="00F017F2">
              <w:rPr>
                <w:rFonts w:ascii="Times New Roman" w:hAnsi="Times New Roman" w:cs="Times New Roman"/>
                <w:sz w:val="20"/>
                <w:szCs w:val="20"/>
              </w:rPr>
              <w:t>2</w:t>
            </w:r>
            <w:r w:rsidR="00906B31" w:rsidRPr="00F017F2">
              <w:rPr>
                <w:rFonts w:ascii="Times New Roman" w:hAnsi="Times New Roman" w:cs="Times New Roman"/>
                <w:sz w:val="20"/>
                <w:szCs w:val="20"/>
              </w:rPr>
              <w:t>5</w:t>
            </w:r>
            <w:r w:rsidR="003F61B6" w:rsidRPr="00F017F2">
              <w:rPr>
                <w:rFonts w:ascii="Times New Roman" w:hAnsi="Times New Roman" w:cs="Times New Roman"/>
                <w:sz w:val="20"/>
                <w:szCs w:val="20"/>
              </w:rPr>
              <w:t>/01/201</w:t>
            </w:r>
            <w:r w:rsidR="00F444AF" w:rsidRPr="00F017F2">
              <w:rPr>
                <w:rFonts w:ascii="Times New Roman" w:hAnsi="Times New Roman" w:cs="Times New Roman"/>
                <w:sz w:val="20"/>
                <w:szCs w:val="20"/>
              </w:rPr>
              <w:t>6</w:t>
            </w:r>
          </w:p>
          <w:p w:rsidR="003F61B6" w:rsidRPr="00F017F2" w:rsidRDefault="00F017F2" w:rsidP="00D53FDE">
            <w:pPr>
              <w:spacing w:line="276" w:lineRule="auto"/>
              <w:jc w:val="both"/>
              <w:rPr>
                <w:rFonts w:ascii="Times New Roman" w:hAnsi="Times New Roman" w:cs="Times New Roman"/>
                <w:b/>
                <w:sz w:val="20"/>
                <w:szCs w:val="20"/>
              </w:rPr>
            </w:pPr>
            <w:r w:rsidRPr="00F017F2">
              <w:rPr>
                <w:rFonts w:ascii="Times New Roman" w:hAnsi="Times New Roman" w:cs="Times New Roman"/>
                <w:b/>
                <w:sz w:val="20"/>
                <w:szCs w:val="20"/>
              </w:rPr>
              <w:t>Base Value</w:t>
            </w:r>
            <w:r w:rsidR="003F61B6" w:rsidRPr="00F017F2">
              <w:rPr>
                <w:rFonts w:ascii="Times New Roman" w:hAnsi="Times New Roman" w:cs="Times New Roman"/>
                <w:b/>
                <w:sz w:val="20"/>
                <w:szCs w:val="20"/>
              </w:rPr>
              <w:t xml:space="preserve">: </w:t>
            </w:r>
            <w:r w:rsidR="003F61B6" w:rsidRPr="00F017F2">
              <w:rPr>
                <w:rFonts w:ascii="Times New Roman" w:hAnsi="Times New Roman" w:cs="Times New Roman"/>
                <w:sz w:val="20"/>
                <w:szCs w:val="20"/>
              </w:rPr>
              <w:t>5</w:t>
            </w:r>
            <w:r w:rsidR="00906B31" w:rsidRPr="00F017F2">
              <w:rPr>
                <w:rFonts w:ascii="Times New Roman" w:hAnsi="Times New Roman" w:cs="Times New Roman"/>
                <w:sz w:val="20"/>
                <w:szCs w:val="20"/>
              </w:rPr>
              <w:t>33</w:t>
            </w:r>
            <w:r w:rsidR="003F61B6" w:rsidRPr="00F017F2">
              <w:rPr>
                <w:rFonts w:ascii="Times New Roman" w:hAnsi="Times New Roman" w:cs="Times New Roman"/>
                <w:sz w:val="20"/>
                <w:szCs w:val="20"/>
              </w:rPr>
              <w:t>.</w:t>
            </w:r>
            <w:r w:rsidR="00906B31" w:rsidRPr="00F017F2">
              <w:rPr>
                <w:rFonts w:ascii="Times New Roman" w:hAnsi="Times New Roman" w:cs="Times New Roman"/>
                <w:sz w:val="20"/>
                <w:szCs w:val="20"/>
              </w:rPr>
              <w:t>49</w:t>
            </w:r>
          </w:p>
          <w:p w:rsidR="003F61B6" w:rsidRPr="00F017F2" w:rsidRDefault="00F017F2" w:rsidP="00D53FDE">
            <w:pPr>
              <w:spacing w:line="276" w:lineRule="auto"/>
              <w:jc w:val="both"/>
              <w:rPr>
                <w:rFonts w:ascii="Times New Roman" w:hAnsi="Times New Roman" w:cs="Times New Roman"/>
                <w:b/>
                <w:sz w:val="20"/>
                <w:szCs w:val="20"/>
              </w:rPr>
            </w:pPr>
            <w:r w:rsidRPr="00F017F2">
              <w:rPr>
                <w:rFonts w:ascii="Times New Roman" w:hAnsi="Times New Roman" w:cs="Times New Roman"/>
                <w:b/>
                <w:sz w:val="20"/>
                <w:szCs w:val="20"/>
              </w:rPr>
              <w:t>Availability</w:t>
            </w:r>
            <w:r w:rsidR="00906B31" w:rsidRPr="00F017F2">
              <w:rPr>
                <w:rFonts w:ascii="Times New Roman" w:hAnsi="Times New Roman" w:cs="Times New Roman"/>
                <w:b/>
                <w:sz w:val="20"/>
                <w:szCs w:val="20"/>
              </w:rPr>
              <w:t>:</w:t>
            </w:r>
          </w:p>
          <w:p w:rsidR="003F61B6" w:rsidRPr="00F017F2" w:rsidRDefault="00F017F2" w:rsidP="00D53FDE">
            <w:pPr>
              <w:spacing w:line="276" w:lineRule="auto"/>
              <w:jc w:val="both"/>
              <w:rPr>
                <w:rFonts w:ascii="Times New Roman" w:hAnsi="Times New Roman" w:cs="Times New Roman"/>
                <w:b/>
                <w:sz w:val="20"/>
                <w:szCs w:val="20"/>
              </w:rPr>
            </w:pPr>
            <w:r w:rsidRPr="00F017F2">
              <w:rPr>
                <w:rFonts w:ascii="Times New Roman" w:hAnsi="Times New Roman" w:cs="Times New Roman"/>
                <w:sz w:val="20"/>
                <w:szCs w:val="20"/>
              </w:rPr>
              <w:t>Price indices</w:t>
            </w:r>
          </w:p>
          <w:p w:rsidR="003F61B6" w:rsidRPr="00F017F2" w:rsidRDefault="00F017F2" w:rsidP="00D53FDE">
            <w:pPr>
              <w:spacing w:line="276" w:lineRule="auto"/>
              <w:jc w:val="both"/>
              <w:rPr>
                <w:rFonts w:ascii="Times New Roman" w:hAnsi="Times New Roman" w:cs="Times New Roman"/>
                <w:b/>
                <w:sz w:val="20"/>
                <w:szCs w:val="20"/>
              </w:rPr>
            </w:pPr>
            <w:r w:rsidRPr="00F017F2">
              <w:rPr>
                <w:rFonts w:ascii="Times New Roman" w:hAnsi="Times New Roman" w:cs="Times New Roman"/>
                <w:b/>
                <w:sz w:val="20"/>
                <w:szCs w:val="20"/>
              </w:rPr>
              <w:t>Frequency</w:t>
            </w:r>
            <w:r w:rsidR="00906B31" w:rsidRPr="00F017F2">
              <w:rPr>
                <w:rFonts w:ascii="Times New Roman" w:hAnsi="Times New Roman" w:cs="Times New Roman"/>
                <w:b/>
                <w:sz w:val="20"/>
                <w:szCs w:val="20"/>
              </w:rPr>
              <w:t>:</w:t>
            </w:r>
          </w:p>
          <w:p w:rsidR="003F61B6" w:rsidRPr="00F017F2" w:rsidRDefault="00F017F2" w:rsidP="00D53FDE">
            <w:pPr>
              <w:spacing w:line="276" w:lineRule="auto"/>
              <w:jc w:val="both"/>
              <w:rPr>
                <w:rFonts w:ascii="Times New Roman" w:hAnsi="Times New Roman" w:cs="Times New Roman"/>
                <w:b/>
                <w:sz w:val="20"/>
                <w:szCs w:val="20"/>
              </w:rPr>
            </w:pPr>
            <w:r w:rsidRPr="00F017F2">
              <w:rPr>
                <w:rFonts w:ascii="Times New Roman" w:hAnsi="Times New Roman" w:cs="Times New Roman"/>
                <w:sz w:val="20"/>
                <w:szCs w:val="20"/>
              </w:rPr>
              <w:t xml:space="preserve">Real-time </w:t>
            </w:r>
          </w:p>
          <w:p w:rsidR="003F61B6" w:rsidRPr="00F017F2" w:rsidRDefault="00F017F2" w:rsidP="00D53FDE">
            <w:pPr>
              <w:spacing w:line="276" w:lineRule="auto"/>
              <w:jc w:val="both"/>
              <w:rPr>
                <w:rFonts w:ascii="Times New Roman" w:hAnsi="Times New Roman" w:cs="Times New Roman"/>
                <w:b/>
                <w:sz w:val="20"/>
                <w:szCs w:val="20"/>
              </w:rPr>
            </w:pPr>
            <w:r w:rsidRPr="00F017F2">
              <w:rPr>
                <w:rFonts w:ascii="Times New Roman" w:hAnsi="Times New Roman" w:cs="Times New Roman"/>
                <w:b/>
                <w:sz w:val="20"/>
                <w:szCs w:val="20"/>
              </w:rPr>
              <w:t>Capping limit</w:t>
            </w:r>
            <w:r w:rsidR="003F61B6" w:rsidRPr="00F017F2">
              <w:rPr>
                <w:rFonts w:ascii="Times New Roman" w:hAnsi="Times New Roman" w:cs="Times New Roman"/>
                <w:b/>
                <w:sz w:val="20"/>
                <w:szCs w:val="20"/>
              </w:rPr>
              <w:t xml:space="preserve">: </w:t>
            </w:r>
          </w:p>
          <w:p w:rsidR="003F61B6" w:rsidRPr="00F017F2" w:rsidRDefault="00F017F2" w:rsidP="00D53FDE">
            <w:pPr>
              <w:spacing w:line="276" w:lineRule="auto"/>
              <w:jc w:val="both"/>
              <w:rPr>
                <w:rFonts w:ascii="Times New Roman" w:hAnsi="Times New Roman" w:cs="Times New Roman"/>
                <w:b/>
                <w:sz w:val="20"/>
                <w:szCs w:val="20"/>
              </w:rPr>
            </w:pPr>
            <w:r w:rsidRPr="00F017F2">
              <w:rPr>
                <w:rFonts w:ascii="Times New Roman" w:hAnsi="Times New Roman" w:cs="Times New Roman"/>
                <w:sz w:val="20"/>
                <w:szCs w:val="20"/>
              </w:rPr>
              <w:t>Not applied</w:t>
            </w:r>
          </w:p>
          <w:p w:rsidR="00F017F2" w:rsidRPr="00F017F2" w:rsidRDefault="00F017F2" w:rsidP="00D53FDE">
            <w:pPr>
              <w:spacing w:line="276" w:lineRule="auto"/>
              <w:jc w:val="both"/>
              <w:rPr>
                <w:rFonts w:ascii="Times New Roman" w:hAnsi="Times New Roman" w:cs="Times New Roman"/>
                <w:b/>
                <w:sz w:val="20"/>
                <w:szCs w:val="20"/>
              </w:rPr>
            </w:pPr>
            <w:r w:rsidRPr="00F017F2">
              <w:rPr>
                <w:rFonts w:ascii="Times New Roman" w:hAnsi="Times New Roman" w:cs="Times New Roman"/>
                <w:b/>
                <w:sz w:val="20"/>
                <w:szCs w:val="20"/>
              </w:rPr>
              <w:t>Calculation Method:</w:t>
            </w:r>
          </w:p>
          <w:p w:rsidR="007415F1" w:rsidRPr="007415F1" w:rsidRDefault="007415F1" w:rsidP="00D53FDE">
            <w:pPr>
              <w:spacing w:line="276" w:lineRule="auto"/>
              <w:jc w:val="both"/>
              <w:rPr>
                <w:rFonts w:ascii="Times New Roman" w:hAnsi="Times New Roman" w:cs="Times New Roman"/>
                <w:sz w:val="20"/>
                <w:szCs w:val="20"/>
              </w:rPr>
            </w:pPr>
            <w:r w:rsidRPr="007415F1">
              <w:rPr>
                <w:rFonts w:ascii="Times New Roman" w:hAnsi="Times New Roman" w:cs="Times New Roman"/>
                <w:sz w:val="20"/>
                <w:szCs w:val="20"/>
              </w:rPr>
              <w:t>Free-float adjusted market-capitalization weighted index.</w:t>
            </w:r>
          </w:p>
          <w:p w:rsidR="003F61B6" w:rsidRPr="006D2F55" w:rsidRDefault="00F017F2" w:rsidP="00D53FDE">
            <w:pPr>
              <w:spacing w:line="276" w:lineRule="auto"/>
              <w:jc w:val="both"/>
              <w:rPr>
                <w:rFonts w:ascii="Times New Roman" w:hAnsi="Times New Roman" w:cs="Times New Roman"/>
              </w:rPr>
            </w:pPr>
            <w:r w:rsidRPr="00F017F2">
              <w:rPr>
                <w:rFonts w:ascii="Times New Roman" w:hAnsi="Times New Roman" w:cs="Times New Roman"/>
                <w:b/>
                <w:sz w:val="20"/>
                <w:szCs w:val="20"/>
              </w:rPr>
              <w:t>Currency</w:t>
            </w:r>
            <w:r w:rsidR="003F61B6" w:rsidRPr="00F017F2">
              <w:rPr>
                <w:rFonts w:ascii="Times New Roman" w:hAnsi="Times New Roman" w:cs="Times New Roman"/>
                <w:b/>
                <w:sz w:val="20"/>
                <w:szCs w:val="20"/>
              </w:rPr>
              <w:t xml:space="preserve">: </w:t>
            </w:r>
            <w:r w:rsidR="003F61B6" w:rsidRPr="00F017F2">
              <w:rPr>
                <w:rFonts w:ascii="Times New Roman" w:hAnsi="Times New Roman" w:cs="Times New Roman"/>
                <w:sz w:val="20"/>
                <w:szCs w:val="20"/>
              </w:rPr>
              <w:t>VND</w:t>
            </w:r>
          </w:p>
        </w:tc>
      </w:tr>
      <w:tr w:rsidR="00CF648E" w:rsidRPr="006D2F55" w:rsidTr="00B55DD2">
        <w:tblPrEx>
          <w:tblCellMar>
            <w:left w:w="108" w:type="dxa"/>
            <w:right w:w="108" w:type="dxa"/>
          </w:tblCellMar>
        </w:tblPrEx>
        <w:trPr>
          <w:trHeight w:hRule="exact" w:val="352"/>
          <w:jc w:val="center"/>
        </w:trPr>
        <w:tc>
          <w:tcPr>
            <w:tcW w:w="6982" w:type="dxa"/>
            <w:gridSpan w:val="2"/>
            <w:shd w:val="clear" w:color="auto" w:fill="0070C0"/>
            <w:vAlign w:val="center"/>
          </w:tcPr>
          <w:p w:rsidR="00CF648E" w:rsidRPr="00C84839" w:rsidRDefault="00920334" w:rsidP="0010674A">
            <w:pPr>
              <w:tabs>
                <w:tab w:val="center" w:pos="2700"/>
                <w:tab w:val="left" w:pos="4236"/>
              </w:tabs>
              <w:rPr>
                <w:rFonts w:ascii="Times New Roman" w:hAnsi="Times New Roman" w:cs="Times New Roman"/>
                <w:b/>
                <w:color w:val="FFFFFF" w:themeColor="background1"/>
              </w:rPr>
            </w:pPr>
            <w:r w:rsidRPr="00C84839">
              <w:rPr>
                <w:rFonts w:ascii="Times New Roman" w:hAnsi="Times New Roman" w:cs="Times New Roman"/>
                <w:b/>
                <w:color w:val="FFFFFF" w:themeColor="background1"/>
              </w:rPr>
              <w:t>Indices Performance</w:t>
            </w:r>
          </w:p>
        </w:tc>
        <w:tc>
          <w:tcPr>
            <w:tcW w:w="4394" w:type="dxa"/>
            <w:gridSpan w:val="2"/>
            <w:vAlign w:val="center"/>
          </w:tcPr>
          <w:p w:rsidR="00CF648E" w:rsidRPr="006D2F55" w:rsidRDefault="00CF648E" w:rsidP="00C84839">
            <w:pPr>
              <w:tabs>
                <w:tab w:val="center" w:pos="2700"/>
                <w:tab w:val="left" w:pos="4236"/>
              </w:tabs>
              <w:rPr>
                <w:rFonts w:ascii="Times New Roman" w:hAnsi="Times New Roman" w:cs="Times New Roman"/>
              </w:rPr>
            </w:pPr>
          </w:p>
        </w:tc>
      </w:tr>
      <w:tr w:rsidR="00CF648E" w:rsidRPr="001F0241" w:rsidTr="00446F9E">
        <w:tblPrEx>
          <w:tblCellMar>
            <w:left w:w="108" w:type="dxa"/>
            <w:right w:w="108" w:type="dxa"/>
          </w:tblCellMar>
        </w:tblPrEx>
        <w:trPr>
          <w:trHeight w:hRule="exact" w:val="3538"/>
          <w:jc w:val="center"/>
        </w:trPr>
        <w:tc>
          <w:tcPr>
            <w:tcW w:w="11376" w:type="dxa"/>
            <w:gridSpan w:val="4"/>
          </w:tcPr>
          <w:tbl>
            <w:tblPr>
              <w:tblW w:w="5000" w:type="pct"/>
              <w:jc w:val="center"/>
              <w:tblBorders>
                <w:top w:val="single" w:sz="4" w:space="0" w:color="548DD4" w:themeColor="text2" w:themeTint="99"/>
                <w:bottom w:val="single" w:sz="4" w:space="0" w:color="548DD4" w:themeColor="text2" w:themeTint="99"/>
                <w:insideH w:val="single" w:sz="4" w:space="0" w:color="548DD4" w:themeColor="text2" w:themeTint="99"/>
              </w:tblBorders>
              <w:tblLook w:val="04A0" w:firstRow="1" w:lastRow="0" w:firstColumn="1" w:lastColumn="0" w:noHBand="0" w:noVBand="1"/>
            </w:tblPr>
            <w:tblGrid>
              <w:gridCol w:w="4411"/>
              <w:gridCol w:w="1688"/>
              <w:gridCol w:w="1687"/>
              <w:gridCol w:w="1687"/>
              <w:gridCol w:w="1687"/>
            </w:tblGrid>
            <w:tr w:rsidR="00320D39" w:rsidRPr="00320D39" w:rsidTr="00320D39">
              <w:trPr>
                <w:trHeight w:val="149"/>
                <w:jc w:val="center"/>
              </w:trPr>
              <w:tc>
                <w:tcPr>
                  <w:tcW w:w="1976" w:type="pct"/>
                  <w:tcBorders>
                    <w:top w:val="nil"/>
                  </w:tcBorders>
                  <w:shd w:val="clear" w:color="auto" w:fill="auto"/>
                  <w:noWrap/>
                  <w:vAlign w:val="center"/>
                  <w:hideMark/>
                </w:tcPr>
                <w:p w:rsidR="00320D39" w:rsidRPr="00320D39" w:rsidRDefault="00320D39" w:rsidP="00F749F5">
                  <w:pPr>
                    <w:tabs>
                      <w:tab w:val="left" w:pos="1093"/>
                    </w:tabs>
                    <w:autoSpaceDE w:val="0"/>
                    <w:autoSpaceDN w:val="0"/>
                    <w:adjustRightInd w:val="0"/>
                    <w:spacing w:after="0" w:line="240" w:lineRule="auto"/>
                    <w:jc w:val="center"/>
                    <w:rPr>
                      <w:rFonts w:ascii="Times New Roman" w:hAnsi="Times New Roman" w:cs="Times New Roman"/>
                      <w:b/>
                      <w:bCs/>
                      <w:color w:val="000000"/>
                      <w:sz w:val="10"/>
                      <w:szCs w:val="10"/>
                    </w:rPr>
                  </w:pPr>
                </w:p>
              </w:tc>
              <w:tc>
                <w:tcPr>
                  <w:tcW w:w="756" w:type="pct"/>
                  <w:tcBorders>
                    <w:top w:val="nil"/>
                  </w:tcBorders>
                  <w:shd w:val="clear" w:color="auto" w:fill="auto"/>
                  <w:noWrap/>
                  <w:vAlign w:val="center"/>
                  <w:hideMark/>
                </w:tcPr>
                <w:p w:rsidR="00320D39" w:rsidRPr="00320D39" w:rsidRDefault="00320D39" w:rsidP="00920334">
                  <w:pPr>
                    <w:spacing w:after="0" w:line="240" w:lineRule="auto"/>
                    <w:jc w:val="center"/>
                    <w:rPr>
                      <w:rFonts w:ascii="Times New Roman" w:eastAsia="Times New Roman" w:hAnsi="Times New Roman" w:cs="Times New Roman"/>
                      <w:b/>
                      <w:color w:val="000000"/>
                      <w:sz w:val="10"/>
                      <w:szCs w:val="10"/>
                    </w:rPr>
                  </w:pPr>
                </w:p>
              </w:tc>
              <w:tc>
                <w:tcPr>
                  <w:tcW w:w="756" w:type="pct"/>
                  <w:tcBorders>
                    <w:top w:val="nil"/>
                  </w:tcBorders>
                  <w:shd w:val="clear" w:color="auto" w:fill="auto"/>
                  <w:noWrap/>
                  <w:vAlign w:val="center"/>
                  <w:hideMark/>
                </w:tcPr>
                <w:p w:rsidR="00320D39" w:rsidRPr="00320D39" w:rsidRDefault="00320D39" w:rsidP="00920334">
                  <w:pPr>
                    <w:spacing w:after="0" w:line="240" w:lineRule="auto"/>
                    <w:jc w:val="center"/>
                    <w:rPr>
                      <w:rFonts w:ascii="Times New Roman" w:eastAsia="Times New Roman" w:hAnsi="Times New Roman" w:cs="Times New Roman"/>
                      <w:b/>
                      <w:color w:val="000000"/>
                      <w:sz w:val="10"/>
                      <w:szCs w:val="10"/>
                    </w:rPr>
                  </w:pPr>
                </w:p>
              </w:tc>
              <w:tc>
                <w:tcPr>
                  <w:tcW w:w="756" w:type="pct"/>
                  <w:tcBorders>
                    <w:top w:val="nil"/>
                  </w:tcBorders>
                  <w:shd w:val="clear" w:color="auto" w:fill="auto"/>
                  <w:noWrap/>
                  <w:vAlign w:val="center"/>
                  <w:hideMark/>
                </w:tcPr>
                <w:p w:rsidR="00320D39" w:rsidRPr="00320D39" w:rsidRDefault="00320D39" w:rsidP="001F0241">
                  <w:pPr>
                    <w:spacing w:after="0" w:line="240" w:lineRule="auto"/>
                    <w:jc w:val="center"/>
                    <w:rPr>
                      <w:rFonts w:ascii="Times New Roman" w:eastAsia="Times New Roman" w:hAnsi="Times New Roman" w:cs="Times New Roman"/>
                      <w:b/>
                      <w:color w:val="000000"/>
                      <w:sz w:val="10"/>
                      <w:szCs w:val="10"/>
                    </w:rPr>
                  </w:pPr>
                </w:p>
              </w:tc>
              <w:tc>
                <w:tcPr>
                  <w:tcW w:w="756" w:type="pct"/>
                  <w:tcBorders>
                    <w:top w:val="nil"/>
                  </w:tcBorders>
                  <w:shd w:val="clear" w:color="auto" w:fill="auto"/>
                  <w:noWrap/>
                  <w:vAlign w:val="center"/>
                  <w:hideMark/>
                </w:tcPr>
                <w:p w:rsidR="00320D39" w:rsidRPr="00320D39" w:rsidRDefault="00320D39" w:rsidP="00920334">
                  <w:pPr>
                    <w:spacing w:after="0" w:line="240" w:lineRule="auto"/>
                    <w:jc w:val="center"/>
                    <w:rPr>
                      <w:rFonts w:ascii="Times New Roman" w:eastAsia="Times New Roman" w:hAnsi="Times New Roman" w:cs="Times New Roman"/>
                      <w:b/>
                      <w:color w:val="000000"/>
                      <w:sz w:val="10"/>
                      <w:szCs w:val="10"/>
                    </w:rPr>
                  </w:pPr>
                </w:p>
              </w:tc>
            </w:tr>
            <w:tr w:rsidR="00BE2757" w:rsidRPr="001F0241" w:rsidTr="00D81EE6">
              <w:trPr>
                <w:trHeight w:val="291"/>
                <w:jc w:val="center"/>
              </w:trPr>
              <w:tc>
                <w:tcPr>
                  <w:tcW w:w="1976" w:type="pct"/>
                  <w:shd w:val="clear" w:color="auto" w:fill="auto"/>
                  <w:noWrap/>
                  <w:vAlign w:val="center"/>
                  <w:hideMark/>
                </w:tcPr>
                <w:p w:rsidR="00BE2757" w:rsidRPr="00F749F5" w:rsidRDefault="00F749F5" w:rsidP="00F749F5">
                  <w:pPr>
                    <w:tabs>
                      <w:tab w:val="left" w:pos="1093"/>
                    </w:tabs>
                    <w:autoSpaceDE w:val="0"/>
                    <w:autoSpaceDN w:val="0"/>
                    <w:adjustRightInd w:val="0"/>
                    <w:spacing w:after="0" w:line="240" w:lineRule="auto"/>
                    <w:jc w:val="center"/>
                    <w:rPr>
                      <w:rFonts w:ascii="Calibri" w:eastAsia="Times New Roman" w:hAnsi="Calibri" w:cs="Times New Roman"/>
                      <w:b/>
                      <w:color w:val="000000"/>
                    </w:rPr>
                  </w:pPr>
                  <w:r w:rsidRPr="00F749F5">
                    <w:rPr>
                      <w:rFonts w:ascii="Times New Roman" w:hAnsi="Times New Roman" w:cs="Times New Roman"/>
                      <w:b/>
                      <w:bCs/>
                      <w:color w:val="000000"/>
                      <w:sz w:val="20"/>
                      <w:szCs w:val="20"/>
                    </w:rPr>
                    <w:t>Sector Indices</w:t>
                  </w:r>
                </w:p>
              </w:tc>
              <w:tc>
                <w:tcPr>
                  <w:tcW w:w="756" w:type="pct"/>
                  <w:shd w:val="clear" w:color="auto" w:fill="auto"/>
                  <w:noWrap/>
                  <w:vAlign w:val="center"/>
                  <w:hideMark/>
                </w:tcPr>
                <w:p w:rsidR="00BE2757" w:rsidRPr="00C72200" w:rsidRDefault="00BE2757" w:rsidP="00920334">
                  <w:pPr>
                    <w:spacing w:after="0" w:line="240" w:lineRule="auto"/>
                    <w:jc w:val="center"/>
                    <w:rPr>
                      <w:rFonts w:ascii="Times New Roman" w:eastAsia="Times New Roman" w:hAnsi="Times New Roman" w:cs="Times New Roman"/>
                      <w:b/>
                      <w:color w:val="000000"/>
                      <w:sz w:val="20"/>
                      <w:szCs w:val="20"/>
                    </w:rPr>
                  </w:pPr>
                  <w:r w:rsidRPr="00C72200">
                    <w:rPr>
                      <w:rFonts w:ascii="Times New Roman" w:eastAsia="Times New Roman" w:hAnsi="Times New Roman" w:cs="Times New Roman"/>
                      <w:b/>
                      <w:color w:val="000000"/>
                      <w:sz w:val="20"/>
                      <w:szCs w:val="20"/>
                    </w:rPr>
                    <w:t xml:space="preserve">1 </w:t>
                  </w:r>
                  <w:r w:rsidR="00920334">
                    <w:rPr>
                      <w:rFonts w:ascii="Times New Roman" w:eastAsia="Times New Roman" w:hAnsi="Times New Roman" w:cs="Times New Roman"/>
                      <w:b/>
                      <w:color w:val="000000"/>
                      <w:sz w:val="20"/>
                      <w:szCs w:val="20"/>
                    </w:rPr>
                    <w:t>month</w:t>
                  </w:r>
                </w:p>
              </w:tc>
              <w:tc>
                <w:tcPr>
                  <w:tcW w:w="756" w:type="pct"/>
                  <w:shd w:val="clear" w:color="auto" w:fill="auto"/>
                  <w:noWrap/>
                  <w:vAlign w:val="center"/>
                  <w:hideMark/>
                </w:tcPr>
                <w:p w:rsidR="00BE2757" w:rsidRPr="00C72200" w:rsidRDefault="00BE2757" w:rsidP="00920334">
                  <w:pPr>
                    <w:spacing w:after="0" w:line="240" w:lineRule="auto"/>
                    <w:jc w:val="center"/>
                    <w:rPr>
                      <w:rFonts w:ascii="Times New Roman" w:eastAsia="Times New Roman" w:hAnsi="Times New Roman" w:cs="Times New Roman"/>
                      <w:b/>
                      <w:color w:val="000000"/>
                      <w:sz w:val="20"/>
                      <w:szCs w:val="20"/>
                    </w:rPr>
                  </w:pPr>
                  <w:r w:rsidRPr="00C72200">
                    <w:rPr>
                      <w:rFonts w:ascii="Times New Roman" w:eastAsia="Times New Roman" w:hAnsi="Times New Roman" w:cs="Times New Roman"/>
                      <w:b/>
                      <w:color w:val="000000"/>
                      <w:sz w:val="20"/>
                      <w:szCs w:val="20"/>
                    </w:rPr>
                    <w:t xml:space="preserve">3 </w:t>
                  </w:r>
                  <w:r w:rsidR="00920334">
                    <w:rPr>
                      <w:rFonts w:ascii="Times New Roman" w:eastAsia="Times New Roman" w:hAnsi="Times New Roman" w:cs="Times New Roman"/>
                      <w:b/>
                      <w:color w:val="000000"/>
                      <w:sz w:val="20"/>
                      <w:szCs w:val="20"/>
                    </w:rPr>
                    <w:t>months</w:t>
                  </w:r>
                </w:p>
              </w:tc>
              <w:tc>
                <w:tcPr>
                  <w:tcW w:w="756" w:type="pct"/>
                  <w:shd w:val="clear" w:color="auto" w:fill="auto"/>
                  <w:noWrap/>
                  <w:vAlign w:val="center"/>
                  <w:hideMark/>
                </w:tcPr>
                <w:p w:rsidR="00BE2757" w:rsidRPr="00C72200" w:rsidRDefault="00BE2757" w:rsidP="001F0241">
                  <w:pPr>
                    <w:spacing w:after="0" w:line="240" w:lineRule="auto"/>
                    <w:jc w:val="center"/>
                    <w:rPr>
                      <w:rFonts w:ascii="Times New Roman" w:eastAsia="Times New Roman" w:hAnsi="Times New Roman" w:cs="Times New Roman"/>
                      <w:b/>
                      <w:color w:val="000000"/>
                      <w:sz w:val="20"/>
                      <w:szCs w:val="20"/>
                    </w:rPr>
                  </w:pPr>
                  <w:r w:rsidRPr="00C72200">
                    <w:rPr>
                      <w:rFonts w:ascii="Times New Roman" w:eastAsia="Times New Roman" w:hAnsi="Times New Roman" w:cs="Times New Roman"/>
                      <w:b/>
                      <w:color w:val="000000"/>
                      <w:sz w:val="20"/>
                      <w:szCs w:val="20"/>
                    </w:rPr>
                    <w:t xml:space="preserve">6 </w:t>
                  </w:r>
                  <w:r w:rsidR="00920334">
                    <w:rPr>
                      <w:rFonts w:ascii="Times New Roman" w:eastAsia="Times New Roman" w:hAnsi="Times New Roman" w:cs="Times New Roman"/>
                      <w:b/>
                      <w:color w:val="000000"/>
                      <w:sz w:val="20"/>
                      <w:szCs w:val="20"/>
                    </w:rPr>
                    <w:t>months</w:t>
                  </w:r>
                </w:p>
              </w:tc>
              <w:tc>
                <w:tcPr>
                  <w:tcW w:w="756" w:type="pct"/>
                  <w:shd w:val="clear" w:color="auto" w:fill="auto"/>
                  <w:noWrap/>
                  <w:vAlign w:val="center"/>
                  <w:hideMark/>
                </w:tcPr>
                <w:p w:rsidR="00BE2757" w:rsidRPr="00C72200" w:rsidRDefault="00BE2757" w:rsidP="00920334">
                  <w:pPr>
                    <w:spacing w:after="0" w:line="240" w:lineRule="auto"/>
                    <w:jc w:val="center"/>
                    <w:rPr>
                      <w:rFonts w:ascii="Times New Roman" w:eastAsia="Times New Roman" w:hAnsi="Times New Roman" w:cs="Times New Roman"/>
                      <w:b/>
                      <w:color w:val="000000"/>
                      <w:sz w:val="20"/>
                      <w:szCs w:val="20"/>
                    </w:rPr>
                  </w:pPr>
                  <w:r w:rsidRPr="00C72200">
                    <w:rPr>
                      <w:rFonts w:ascii="Times New Roman" w:eastAsia="Times New Roman" w:hAnsi="Times New Roman" w:cs="Times New Roman"/>
                      <w:b/>
                      <w:color w:val="000000"/>
                      <w:sz w:val="20"/>
                      <w:szCs w:val="20"/>
                    </w:rPr>
                    <w:t xml:space="preserve">1 </w:t>
                  </w:r>
                  <w:r w:rsidR="00920334">
                    <w:rPr>
                      <w:rFonts w:ascii="Times New Roman" w:eastAsia="Times New Roman" w:hAnsi="Times New Roman" w:cs="Times New Roman"/>
                      <w:b/>
                      <w:color w:val="000000"/>
                      <w:sz w:val="20"/>
                      <w:szCs w:val="20"/>
                    </w:rPr>
                    <w:t>year</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Energy</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-0.31%</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4.22%</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4.48%</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3.25%</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Materials</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-3.33%</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-3.47%</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-2.05%</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-16.46%</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Industrials</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1.17%</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-3.05%</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-5.60%</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-9.67%</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Consumer Discretionary</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1.76%</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2.31%</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6.64%</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6.51%</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Consumer Staples</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0.34%</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-4.72%</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1.92%</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0.29%</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Health Care</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-1.81%</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-0.38%</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14.47%</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-0.73%</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Financials</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-3.04%</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-6.62%</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-6.23%</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-19.55%</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Real Estate</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-3.31%</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-0.84%</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4.35%</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6.99%</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Utilities</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-4.15%</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4.66%</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13.80%</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14.81%</w:t>
                  </w:r>
                </w:p>
              </w:tc>
            </w:tr>
            <w:tr w:rsidR="00DF583B" w:rsidRPr="00474179" w:rsidTr="00B548E0">
              <w:trPr>
                <w:trHeight w:val="291"/>
                <w:jc w:val="center"/>
              </w:trPr>
              <w:tc>
                <w:tcPr>
                  <w:tcW w:w="1976" w:type="pct"/>
                  <w:shd w:val="clear" w:color="auto" w:fill="auto"/>
                  <w:noWrap/>
                  <w:vAlign w:val="center"/>
                  <w:hideMark/>
                </w:tcPr>
                <w:p w:rsidR="00DF583B" w:rsidRPr="00474179" w:rsidRDefault="00DF583B" w:rsidP="00DF583B">
                  <w:pPr>
                    <w:tabs>
                      <w:tab w:val="left" w:pos="572"/>
                      <w:tab w:val="left" w:pos="1093"/>
                    </w:tabs>
                    <w:autoSpaceDE w:val="0"/>
                    <w:autoSpaceDN w:val="0"/>
                    <w:adjustRightInd w:val="0"/>
                    <w:spacing w:after="0" w:line="240" w:lineRule="auto"/>
                    <w:rPr>
                      <w:rFonts w:ascii="Times New Roman" w:hAnsi="Times New Roman" w:cs="Times New Roman"/>
                      <w:bCs/>
                      <w:sz w:val="20"/>
                      <w:szCs w:val="20"/>
                    </w:rPr>
                  </w:pPr>
                  <w:r w:rsidRPr="00474179">
                    <w:rPr>
                      <w:rFonts w:ascii="Times New Roman" w:hAnsi="Times New Roman" w:cs="Times New Roman"/>
                      <w:bCs/>
                      <w:sz w:val="20"/>
                      <w:szCs w:val="20"/>
                    </w:rPr>
                    <w:tab/>
                  </w:r>
                  <w:r w:rsidRPr="00474179">
                    <w:rPr>
                      <w:rFonts w:ascii="Times New Roman" w:hAnsi="Times New Roman" w:cs="Times New Roman"/>
                      <w:bCs/>
                      <w:sz w:val="20"/>
                      <w:szCs w:val="20"/>
                    </w:rPr>
                    <w:tab/>
                  </w:r>
                  <w:proofErr w:type="spellStart"/>
                  <w:r w:rsidRPr="00474179">
                    <w:rPr>
                      <w:rFonts w:ascii="Times New Roman" w:hAnsi="Times New Roman" w:cs="Times New Roman"/>
                      <w:bCs/>
                      <w:sz w:val="20"/>
                      <w:szCs w:val="20"/>
                    </w:rPr>
                    <w:t>VNAllShare</w:t>
                  </w:r>
                  <w:proofErr w:type="spellEnd"/>
                  <w:r w:rsidRPr="00474179">
                    <w:rPr>
                      <w:rFonts w:ascii="Times New Roman" w:hAnsi="Times New Roman" w:cs="Times New Roman"/>
                      <w:bCs/>
                      <w:sz w:val="20"/>
                      <w:szCs w:val="20"/>
                    </w:rPr>
                    <w:t xml:space="preserve"> Information Technology</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-1.31%</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9.95%</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14.47%</w:t>
                  </w:r>
                </w:p>
              </w:tc>
              <w:tc>
                <w:tcPr>
                  <w:tcW w:w="756" w:type="pct"/>
                  <w:shd w:val="clear" w:color="auto" w:fill="auto"/>
                  <w:noWrap/>
                  <w:hideMark/>
                </w:tcPr>
                <w:p w:rsidR="00DF583B" w:rsidRPr="00223D31" w:rsidRDefault="00DF583B" w:rsidP="00DF583B">
                  <w:pPr>
                    <w:autoSpaceDE w:val="0"/>
                    <w:autoSpaceDN w:val="0"/>
                    <w:adjustRightInd w:val="0"/>
                    <w:spacing w:after="0" w:line="240" w:lineRule="auto"/>
                    <w:jc w:val="center"/>
                    <w:rPr>
                      <w:rFonts w:ascii="Times New Roman" w:hAnsi="Times New Roman" w:cs="Times New Roman"/>
                      <w:sz w:val="20"/>
                      <w:szCs w:val="20"/>
                    </w:rPr>
                  </w:pPr>
                  <w:r w:rsidRPr="00223D31">
                    <w:rPr>
                      <w:rFonts w:ascii="Times New Roman" w:hAnsi="Times New Roman" w:cs="Times New Roman"/>
                      <w:sz w:val="20"/>
                      <w:szCs w:val="20"/>
                    </w:rPr>
                    <w:t>6.70%</w:t>
                  </w:r>
                </w:p>
              </w:tc>
            </w:tr>
          </w:tbl>
          <w:p w:rsidR="00CF648E" w:rsidRPr="001F0241" w:rsidRDefault="00CF648E" w:rsidP="001F0241">
            <w:pPr>
              <w:jc w:val="center"/>
              <w:rPr>
                <w:rFonts w:ascii="Arial" w:eastAsia="Times New Roman" w:hAnsi="Arial" w:cs="Arial"/>
                <w:color w:val="000000"/>
              </w:rPr>
            </w:pPr>
          </w:p>
        </w:tc>
      </w:tr>
      <w:tr w:rsidR="00CF648E" w:rsidRPr="006D2F55" w:rsidTr="00B55DD2">
        <w:tblPrEx>
          <w:tblCellMar>
            <w:left w:w="108" w:type="dxa"/>
            <w:right w:w="108" w:type="dxa"/>
          </w:tblCellMar>
        </w:tblPrEx>
        <w:trPr>
          <w:trHeight w:val="352"/>
          <w:jc w:val="center"/>
        </w:trPr>
        <w:tc>
          <w:tcPr>
            <w:tcW w:w="6982" w:type="dxa"/>
            <w:gridSpan w:val="2"/>
            <w:shd w:val="clear" w:color="auto" w:fill="0070C0"/>
            <w:vAlign w:val="center"/>
          </w:tcPr>
          <w:p w:rsidR="00CF648E" w:rsidRPr="006D2F55" w:rsidRDefault="00E32045" w:rsidP="0010674A">
            <w:pPr>
              <w:rPr>
                <w:rFonts w:ascii="Times New Roman" w:eastAsia="Times New Roman" w:hAnsi="Times New Roman" w:cs="Times New Roman"/>
              </w:rPr>
            </w:pPr>
            <w:r w:rsidRPr="006D2F55">
              <w:rPr>
                <w:rFonts w:ascii="Times New Roman" w:hAnsi="Times New Roman" w:cs="Times New Roman"/>
                <w:b/>
                <w:color w:val="FFFFFF" w:themeColor="background1"/>
              </w:rPr>
              <w:t>Indices Characteristics</w:t>
            </w:r>
          </w:p>
        </w:tc>
        <w:tc>
          <w:tcPr>
            <w:tcW w:w="4394" w:type="dxa"/>
            <w:gridSpan w:val="2"/>
          </w:tcPr>
          <w:p w:rsidR="00CF648E" w:rsidRPr="006D2F55" w:rsidRDefault="00CF648E" w:rsidP="00C84839">
            <w:pPr>
              <w:jc w:val="center"/>
              <w:rPr>
                <w:rFonts w:ascii="Times New Roman" w:eastAsia="Times New Roman" w:hAnsi="Times New Roman" w:cs="Times New Roman"/>
              </w:rPr>
            </w:pPr>
          </w:p>
        </w:tc>
      </w:tr>
      <w:tr w:rsidR="00CF648E" w:rsidRPr="006D2F55" w:rsidTr="00446F9E">
        <w:tblPrEx>
          <w:tblCellMar>
            <w:left w:w="108" w:type="dxa"/>
            <w:right w:w="108" w:type="dxa"/>
          </w:tblCellMar>
        </w:tblPrEx>
        <w:trPr>
          <w:trHeight w:hRule="exact" w:val="2872"/>
          <w:jc w:val="center"/>
        </w:trPr>
        <w:tc>
          <w:tcPr>
            <w:tcW w:w="11376" w:type="dxa"/>
            <w:gridSpan w:val="4"/>
            <w:vAlign w:val="center"/>
          </w:tcPr>
          <w:tbl>
            <w:tblPr>
              <w:tblW w:w="11145" w:type="dxa"/>
              <w:tblInd w:w="1" w:type="dxa"/>
              <w:tblBorders>
                <w:top w:val="single" w:sz="4" w:space="0" w:color="548DD4" w:themeColor="text2" w:themeTint="99"/>
                <w:bottom w:val="single" w:sz="4" w:space="0" w:color="548DD4" w:themeColor="text2" w:themeTint="99"/>
                <w:insideH w:val="single" w:sz="4" w:space="0" w:color="548DD4" w:themeColor="text2" w:themeTint="99"/>
              </w:tblBorders>
              <w:tblLook w:val="04A0" w:firstRow="1" w:lastRow="0" w:firstColumn="1" w:lastColumn="0" w:noHBand="0" w:noVBand="1"/>
            </w:tblPr>
            <w:tblGrid>
              <w:gridCol w:w="1560"/>
              <w:gridCol w:w="736"/>
              <w:gridCol w:w="900"/>
              <w:gridCol w:w="990"/>
              <w:gridCol w:w="1170"/>
              <w:gridCol w:w="989"/>
              <w:gridCol w:w="719"/>
              <w:gridCol w:w="989"/>
              <w:gridCol w:w="1075"/>
              <w:gridCol w:w="898"/>
              <w:gridCol w:w="1119"/>
            </w:tblGrid>
            <w:tr w:rsidR="00783CB9" w:rsidRPr="00BE2757" w:rsidTr="0008160E">
              <w:trPr>
                <w:trHeight w:val="532"/>
              </w:trPr>
              <w:tc>
                <w:tcPr>
                  <w:tcW w:w="1560" w:type="dxa"/>
                  <w:shd w:val="clear" w:color="auto" w:fill="auto"/>
                  <w:vAlign w:val="center"/>
                  <w:hideMark/>
                </w:tcPr>
                <w:p w:rsidR="00783CB9" w:rsidRPr="00C72200" w:rsidRDefault="00783CB9" w:rsidP="00454E21">
                  <w:pPr>
                    <w:spacing w:after="0" w:line="240" w:lineRule="auto"/>
                    <w:jc w:val="center"/>
                    <w:rPr>
                      <w:rFonts w:ascii="Times New Roman" w:eastAsia="Times New Roman" w:hAnsi="Times New Roman" w:cs="Times New Roman"/>
                      <w:b/>
                      <w:bCs/>
                      <w:color w:val="000000"/>
                      <w:sz w:val="14"/>
                      <w:szCs w:val="16"/>
                    </w:rPr>
                  </w:pPr>
                </w:p>
              </w:tc>
              <w:tc>
                <w:tcPr>
                  <w:tcW w:w="736"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Energy</w:t>
                  </w:r>
                </w:p>
              </w:tc>
              <w:tc>
                <w:tcPr>
                  <w:tcW w:w="900"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Materials</w:t>
                  </w:r>
                </w:p>
              </w:tc>
              <w:tc>
                <w:tcPr>
                  <w:tcW w:w="990"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Industrials</w:t>
                  </w:r>
                </w:p>
              </w:tc>
              <w:tc>
                <w:tcPr>
                  <w:tcW w:w="1170"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Consumer Discretionary</w:t>
                  </w:r>
                </w:p>
              </w:tc>
              <w:tc>
                <w:tcPr>
                  <w:tcW w:w="989"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Consumer Staples</w:t>
                  </w:r>
                </w:p>
              </w:tc>
              <w:tc>
                <w:tcPr>
                  <w:tcW w:w="719"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Health Care</w:t>
                  </w:r>
                </w:p>
              </w:tc>
              <w:tc>
                <w:tcPr>
                  <w:tcW w:w="989" w:type="dxa"/>
                  <w:shd w:val="clear" w:color="auto" w:fill="auto"/>
                  <w:vAlign w:val="center"/>
                  <w:hideMark/>
                </w:tcPr>
                <w:p w:rsidR="00783CB9" w:rsidRPr="0088397C" w:rsidRDefault="00716042" w:rsidP="0071604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Financials</w:t>
                  </w:r>
                </w:p>
              </w:tc>
              <w:tc>
                <w:tcPr>
                  <w:tcW w:w="1075"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Real Estate</w:t>
                  </w:r>
                </w:p>
              </w:tc>
              <w:tc>
                <w:tcPr>
                  <w:tcW w:w="898"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Utilities</w:t>
                  </w:r>
                </w:p>
              </w:tc>
              <w:tc>
                <w:tcPr>
                  <w:tcW w:w="1119" w:type="dxa"/>
                  <w:shd w:val="clear" w:color="auto" w:fill="auto"/>
                  <w:vAlign w:val="center"/>
                  <w:hideMark/>
                </w:tcPr>
                <w:p w:rsidR="00783CB9" w:rsidRPr="0088397C" w:rsidRDefault="00783CB9" w:rsidP="00EB6942">
                  <w:pPr>
                    <w:autoSpaceDE w:val="0"/>
                    <w:autoSpaceDN w:val="0"/>
                    <w:adjustRightInd w:val="0"/>
                    <w:spacing w:after="0" w:line="240" w:lineRule="auto"/>
                    <w:jc w:val="center"/>
                    <w:rPr>
                      <w:rFonts w:ascii="Times New Roman" w:hAnsi="Times New Roman" w:cs="Times New Roman"/>
                      <w:b/>
                      <w:bCs/>
                      <w:color w:val="000000"/>
                      <w:sz w:val="16"/>
                      <w:szCs w:val="16"/>
                    </w:rPr>
                  </w:pPr>
                  <w:r w:rsidRPr="0088397C">
                    <w:rPr>
                      <w:rFonts w:ascii="Times New Roman" w:hAnsi="Times New Roman" w:cs="Times New Roman"/>
                      <w:b/>
                      <w:bCs/>
                      <w:color w:val="000000"/>
                      <w:sz w:val="16"/>
                      <w:szCs w:val="16"/>
                    </w:rPr>
                    <w:t>Information Technology</w:t>
                  </w:r>
                </w:p>
              </w:tc>
            </w:tr>
            <w:tr w:rsidR="00DF583B" w:rsidRPr="00BE2757" w:rsidTr="001B2519">
              <w:trPr>
                <w:trHeight w:val="218"/>
              </w:trPr>
              <w:tc>
                <w:tcPr>
                  <w:tcW w:w="1560" w:type="dxa"/>
                  <w:shd w:val="clear" w:color="auto" w:fill="auto"/>
                  <w:vAlign w:val="center"/>
                  <w:hideMark/>
                </w:tcPr>
                <w:p w:rsidR="00DF583B" w:rsidRPr="00302E1C" w:rsidRDefault="00DF583B" w:rsidP="00DF583B">
                  <w:pPr>
                    <w:spacing w:after="0" w:line="240" w:lineRule="auto"/>
                    <w:jc w:val="center"/>
                    <w:rPr>
                      <w:rFonts w:ascii="Times New Roman" w:eastAsia="Times New Roman" w:hAnsi="Times New Roman" w:cs="Times New Roman"/>
                      <w:b/>
                      <w:color w:val="000000"/>
                      <w:sz w:val="16"/>
                      <w:szCs w:val="16"/>
                    </w:rPr>
                  </w:pPr>
                  <w:bookmarkStart w:id="0" w:name="_GoBack" w:colFirst="1" w:colLast="10"/>
                  <w:r w:rsidRPr="00302E1C">
                    <w:rPr>
                      <w:rFonts w:ascii="Times New Roman" w:eastAsia="Times New Roman" w:hAnsi="Times New Roman" w:cs="Times New Roman"/>
                      <w:b/>
                      <w:color w:val="000000"/>
                      <w:sz w:val="16"/>
                      <w:szCs w:val="16"/>
                    </w:rPr>
                    <w:t>Number of Constituents</w:t>
                  </w:r>
                </w:p>
              </w:tc>
              <w:tc>
                <w:tcPr>
                  <w:tcW w:w="736"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7</w:t>
                  </w:r>
                </w:p>
              </w:tc>
              <w:tc>
                <w:tcPr>
                  <w:tcW w:w="90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37</w:t>
                  </w:r>
                </w:p>
              </w:tc>
              <w:tc>
                <w:tcPr>
                  <w:tcW w:w="99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64</w:t>
                  </w:r>
                </w:p>
              </w:tc>
              <w:tc>
                <w:tcPr>
                  <w:tcW w:w="117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31</w:t>
                  </w:r>
                </w:p>
              </w:tc>
              <w:tc>
                <w:tcPr>
                  <w:tcW w:w="98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24</w:t>
                  </w:r>
                </w:p>
              </w:tc>
              <w:tc>
                <w:tcPr>
                  <w:tcW w:w="71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6</w:t>
                  </w:r>
                </w:p>
              </w:tc>
              <w:tc>
                <w:tcPr>
                  <w:tcW w:w="98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24</w:t>
                  </w:r>
                </w:p>
              </w:tc>
              <w:tc>
                <w:tcPr>
                  <w:tcW w:w="1075"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35</w:t>
                  </w:r>
                </w:p>
              </w:tc>
              <w:tc>
                <w:tcPr>
                  <w:tcW w:w="898"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12</w:t>
                  </w:r>
                </w:p>
              </w:tc>
              <w:tc>
                <w:tcPr>
                  <w:tcW w:w="111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4</w:t>
                  </w:r>
                </w:p>
              </w:tc>
            </w:tr>
            <w:tr w:rsidR="00DF583B" w:rsidRPr="00BE2757" w:rsidTr="001B2519">
              <w:trPr>
                <w:trHeight w:val="434"/>
              </w:trPr>
              <w:tc>
                <w:tcPr>
                  <w:tcW w:w="1560" w:type="dxa"/>
                  <w:shd w:val="clear" w:color="auto" w:fill="auto"/>
                  <w:vAlign w:val="center"/>
                  <w:hideMark/>
                </w:tcPr>
                <w:p w:rsidR="00DF583B" w:rsidRPr="00302E1C" w:rsidRDefault="00DF583B" w:rsidP="00DF583B">
                  <w:pPr>
                    <w:spacing w:after="0" w:line="240" w:lineRule="auto"/>
                    <w:jc w:val="center"/>
                    <w:rPr>
                      <w:rFonts w:ascii="Times New Roman" w:eastAsia="Times New Roman" w:hAnsi="Times New Roman" w:cs="Times New Roman"/>
                      <w:b/>
                      <w:color w:val="000000"/>
                      <w:sz w:val="16"/>
                      <w:szCs w:val="16"/>
                    </w:rPr>
                  </w:pPr>
                  <w:r w:rsidRPr="00302E1C">
                    <w:rPr>
                      <w:rFonts w:ascii="Times New Roman" w:eastAsia="Times New Roman" w:hAnsi="Times New Roman" w:cs="Times New Roman"/>
                      <w:b/>
                      <w:color w:val="000000"/>
                      <w:sz w:val="16"/>
                      <w:szCs w:val="16"/>
                    </w:rPr>
                    <w:t>Full Market-Capitalization</w:t>
                  </w:r>
                </w:p>
                <w:p w:rsidR="00DF583B" w:rsidRPr="00302E1C" w:rsidRDefault="00DF583B" w:rsidP="00DF583B">
                  <w:pPr>
                    <w:spacing w:after="0" w:line="240" w:lineRule="auto"/>
                    <w:jc w:val="center"/>
                    <w:rPr>
                      <w:rFonts w:ascii="Times New Roman" w:eastAsia="Times New Roman" w:hAnsi="Times New Roman" w:cs="Times New Roman"/>
                      <w:b/>
                      <w:color w:val="000000"/>
                      <w:sz w:val="16"/>
                      <w:szCs w:val="16"/>
                    </w:rPr>
                  </w:pPr>
                  <w:r w:rsidRPr="00302E1C">
                    <w:rPr>
                      <w:rFonts w:ascii="Times New Roman" w:eastAsia="Times New Roman" w:hAnsi="Times New Roman" w:cs="Times New Roman"/>
                      <w:b/>
                      <w:color w:val="000000"/>
                      <w:sz w:val="16"/>
                      <w:szCs w:val="16"/>
                    </w:rPr>
                    <w:t>(Bil</w:t>
                  </w:r>
                  <w:r>
                    <w:rPr>
                      <w:rFonts w:ascii="Times New Roman" w:eastAsia="Times New Roman" w:hAnsi="Times New Roman" w:cs="Times New Roman"/>
                      <w:b/>
                      <w:color w:val="000000"/>
                      <w:sz w:val="16"/>
                      <w:szCs w:val="16"/>
                    </w:rPr>
                    <w:t>lion</w:t>
                  </w:r>
                  <w:r w:rsidRPr="00302E1C">
                    <w:rPr>
                      <w:rFonts w:ascii="Times New Roman" w:eastAsia="Times New Roman" w:hAnsi="Times New Roman" w:cs="Times New Roman"/>
                      <w:b/>
                      <w:color w:val="000000"/>
                      <w:sz w:val="16"/>
                      <w:szCs w:val="16"/>
                    </w:rPr>
                    <w:t xml:space="preserve"> VND)</w:t>
                  </w:r>
                </w:p>
              </w:tc>
              <w:tc>
                <w:tcPr>
                  <w:tcW w:w="736"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14,335 </w:t>
                  </w:r>
                </w:p>
              </w:tc>
              <w:tc>
                <w:tcPr>
                  <w:tcW w:w="90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116,747 </w:t>
                  </w:r>
                </w:p>
              </w:tc>
              <w:tc>
                <w:tcPr>
                  <w:tcW w:w="99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184,826 </w:t>
                  </w:r>
                </w:p>
              </w:tc>
              <w:tc>
                <w:tcPr>
                  <w:tcW w:w="117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92,529 </w:t>
                  </w:r>
                </w:p>
              </w:tc>
              <w:tc>
                <w:tcPr>
                  <w:tcW w:w="98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558,794 </w:t>
                  </w:r>
                </w:p>
              </w:tc>
              <w:tc>
                <w:tcPr>
                  <w:tcW w:w="71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22,842 </w:t>
                  </w:r>
                </w:p>
              </w:tc>
              <w:tc>
                <w:tcPr>
                  <w:tcW w:w="98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623,476 </w:t>
                  </w:r>
                </w:p>
              </w:tc>
              <w:tc>
                <w:tcPr>
                  <w:tcW w:w="1075"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851,471 </w:t>
                  </w:r>
                </w:p>
              </w:tc>
              <w:tc>
                <w:tcPr>
                  <w:tcW w:w="898"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232,661 </w:t>
                  </w:r>
                </w:p>
              </w:tc>
              <w:tc>
                <w:tcPr>
                  <w:tcW w:w="111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33,739 </w:t>
                  </w:r>
                </w:p>
              </w:tc>
            </w:tr>
            <w:tr w:rsidR="00DF583B" w:rsidRPr="00BE2757" w:rsidTr="001B2519">
              <w:trPr>
                <w:trHeight w:val="650"/>
              </w:trPr>
              <w:tc>
                <w:tcPr>
                  <w:tcW w:w="1560" w:type="dxa"/>
                  <w:shd w:val="clear" w:color="auto" w:fill="auto"/>
                  <w:vAlign w:val="center"/>
                  <w:hideMark/>
                </w:tcPr>
                <w:p w:rsidR="00DF583B" w:rsidRPr="00302E1C" w:rsidRDefault="00DF583B" w:rsidP="00DF583B">
                  <w:pPr>
                    <w:spacing w:after="0" w:line="240" w:lineRule="auto"/>
                    <w:jc w:val="center"/>
                    <w:rPr>
                      <w:rFonts w:ascii="Times New Roman" w:eastAsia="Times New Roman" w:hAnsi="Times New Roman" w:cs="Times New Roman"/>
                      <w:b/>
                      <w:color w:val="000000"/>
                      <w:sz w:val="16"/>
                      <w:szCs w:val="16"/>
                    </w:rPr>
                  </w:pPr>
                  <w:r w:rsidRPr="00302E1C">
                    <w:rPr>
                      <w:rFonts w:ascii="Times New Roman" w:eastAsia="Times New Roman" w:hAnsi="Times New Roman" w:cs="Times New Roman"/>
                      <w:b/>
                      <w:color w:val="000000"/>
                      <w:sz w:val="16"/>
                      <w:szCs w:val="16"/>
                    </w:rPr>
                    <w:t>Free float adjusted Market-Capitalization (Bil</w:t>
                  </w:r>
                  <w:r>
                    <w:rPr>
                      <w:rFonts w:ascii="Times New Roman" w:eastAsia="Times New Roman" w:hAnsi="Times New Roman" w:cs="Times New Roman"/>
                      <w:b/>
                      <w:color w:val="000000"/>
                      <w:sz w:val="16"/>
                      <w:szCs w:val="16"/>
                    </w:rPr>
                    <w:t>lion</w:t>
                  </w:r>
                  <w:r w:rsidRPr="00302E1C">
                    <w:rPr>
                      <w:rFonts w:ascii="Times New Roman" w:eastAsia="Times New Roman" w:hAnsi="Times New Roman" w:cs="Times New Roman"/>
                      <w:b/>
                      <w:color w:val="000000"/>
                      <w:sz w:val="16"/>
                      <w:szCs w:val="16"/>
                    </w:rPr>
                    <w:t xml:space="preserve"> VND)</w:t>
                  </w:r>
                </w:p>
              </w:tc>
              <w:tc>
                <w:tcPr>
                  <w:tcW w:w="736"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6,589 </w:t>
                  </w:r>
                </w:p>
              </w:tc>
              <w:tc>
                <w:tcPr>
                  <w:tcW w:w="90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62,013 </w:t>
                  </w:r>
                </w:p>
              </w:tc>
              <w:tc>
                <w:tcPr>
                  <w:tcW w:w="99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100,732 </w:t>
                  </w:r>
                </w:p>
              </w:tc>
              <w:tc>
                <w:tcPr>
                  <w:tcW w:w="117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54,226 </w:t>
                  </w:r>
                </w:p>
              </w:tc>
              <w:tc>
                <w:tcPr>
                  <w:tcW w:w="98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199,322 </w:t>
                  </w:r>
                </w:p>
              </w:tc>
              <w:tc>
                <w:tcPr>
                  <w:tcW w:w="71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7,204 </w:t>
                  </w:r>
                </w:p>
              </w:tc>
              <w:tc>
                <w:tcPr>
                  <w:tcW w:w="98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223,996 </w:t>
                  </w:r>
                </w:p>
              </w:tc>
              <w:tc>
                <w:tcPr>
                  <w:tcW w:w="1075"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276,716 </w:t>
                  </w:r>
                </w:p>
              </w:tc>
              <w:tc>
                <w:tcPr>
                  <w:tcW w:w="898"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21,095 </w:t>
                  </w:r>
                </w:p>
              </w:tc>
              <w:tc>
                <w:tcPr>
                  <w:tcW w:w="111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 xml:space="preserve">25,780 </w:t>
                  </w:r>
                </w:p>
              </w:tc>
            </w:tr>
            <w:tr w:rsidR="00DF583B" w:rsidRPr="00BE2757" w:rsidTr="001B2519">
              <w:trPr>
                <w:trHeight w:val="218"/>
              </w:trPr>
              <w:tc>
                <w:tcPr>
                  <w:tcW w:w="1560" w:type="dxa"/>
                  <w:shd w:val="clear" w:color="auto" w:fill="auto"/>
                  <w:vAlign w:val="center"/>
                  <w:hideMark/>
                </w:tcPr>
                <w:p w:rsidR="00DF583B" w:rsidRPr="00302E1C" w:rsidRDefault="00DF583B" w:rsidP="00DF583B">
                  <w:pPr>
                    <w:spacing w:after="0" w:line="240" w:lineRule="auto"/>
                    <w:jc w:val="center"/>
                    <w:rPr>
                      <w:rFonts w:ascii="Times New Roman" w:eastAsia="Times New Roman" w:hAnsi="Times New Roman" w:cs="Times New Roman"/>
                      <w:b/>
                      <w:color w:val="000000"/>
                      <w:sz w:val="16"/>
                      <w:szCs w:val="16"/>
                    </w:rPr>
                  </w:pPr>
                  <w:r w:rsidRPr="00302E1C">
                    <w:rPr>
                      <w:rFonts w:ascii="Times New Roman" w:eastAsia="Times New Roman" w:hAnsi="Times New Roman" w:cs="Times New Roman"/>
                      <w:b/>
                      <w:color w:val="000000"/>
                      <w:sz w:val="16"/>
                      <w:szCs w:val="16"/>
                    </w:rPr>
                    <w:t xml:space="preserve">Weight in </w:t>
                  </w:r>
                  <w:proofErr w:type="spellStart"/>
                  <w:r w:rsidRPr="00302E1C">
                    <w:rPr>
                      <w:rFonts w:ascii="Times New Roman" w:eastAsia="Times New Roman" w:hAnsi="Times New Roman" w:cs="Times New Roman"/>
                      <w:b/>
                      <w:color w:val="000000"/>
                      <w:sz w:val="16"/>
                      <w:szCs w:val="16"/>
                    </w:rPr>
                    <w:t>VNAllshare</w:t>
                  </w:r>
                  <w:proofErr w:type="spellEnd"/>
                  <w:r>
                    <w:rPr>
                      <w:rFonts w:ascii="Times New Roman" w:eastAsia="Times New Roman" w:hAnsi="Times New Roman" w:cs="Times New Roman"/>
                      <w:b/>
                      <w:color w:val="000000"/>
                      <w:sz w:val="16"/>
                      <w:szCs w:val="16"/>
                    </w:rPr>
                    <w:t xml:space="preserve"> </w:t>
                  </w:r>
                  <w:r w:rsidRPr="00302E1C">
                    <w:rPr>
                      <w:rFonts w:ascii="Times New Roman" w:eastAsia="Times New Roman" w:hAnsi="Times New Roman" w:cs="Times New Roman"/>
                      <w:b/>
                      <w:color w:val="000000"/>
                      <w:sz w:val="16"/>
                      <w:szCs w:val="16"/>
                    </w:rPr>
                    <w:t>(%)</w:t>
                  </w:r>
                </w:p>
              </w:tc>
              <w:tc>
                <w:tcPr>
                  <w:tcW w:w="736"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0.67%</w:t>
                  </w:r>
                </w:p>
              </w:tc>
              <w:tc>
                <w:tcPr>
                  <w:tcW w:w="90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6.33%</w:t>
                  </w:r>
                </w:p>
              </w:tc>
              <w:tc>
                <w:tcPr>
                  <w:tcW w:w="99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10.28%</w:t>
                  </w:r>
                </w:p>
              </w:tc>
              <w:tc>
                <w:tcPr>
                  <w:tcW w:w="1170"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5.54%</w:t>
                  </w:r>
                </w:p>
              </w:tc>
              <w:tc>
                <w:tcPr>
                  <w:tcW w:w="98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20.35%</w:t>
                  </w:r>
                </w:p>
              </w:tc>
              <w:tc>
                <w:tcPr>
                  <w:tcW w:w="71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0.74%</w:t>
                  </w:r>
                </w:p>
              </w:tc>
              <w:tc>
                <w:tcPr>
                  <w:tcW w:w="98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22.87%</w:t>
                  </w:r>
                </w:p>
              </w:tc>
              <w:tc>
                <w:tcPr>
                  <w:tcW w:w="1075"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28.25%</w:t>
                  </w:r>
                </w:p>
              </w:tc>
              <w:tc>
                <w:tcPr>
                  <w:tcW w:w="898"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2.15%</w:t>
                  </w:r>
                </w:p>
              </w:tc>
              <w:tc>
                <w:tcPr>
                  <w:tcW w:w="1119" w:type="dxa"/>
                  <w:shd w:val="clear" w:color="auto" w:fill="auto"/>
                  <w:vAlign w:val="center"/>
                  <w:hideMark/>
                </w:tcPr>
                <w:p w:rsidR="00DF583B" w:rsidRPr="00D05040" w:rsidRDefault="00DF583B" w:rsidP="00DF583B">
                  <w:pPr>
                    <w:autoSpaceDE w:val="0"/>
                    <w:autoSpaceDN w:val="0"/>
                    <w:adjustRightInd w:val="0"/>
                    <w:spacing w:after="0" w:line="240" w:lineRule="auto"/>
                    <w:jc w:val="center"/>
                    <w:rPr>
                      <w:rFonts w:ascii="Times New Roman" w:hAnsi="Times New Roman" w:cs="Times New Roman"/>
                      <w:color w:val="000000"/>
                      <w:sz w:val="16"/>
                      <w:szCs w:val="16"/>
                    </w:rPr>
                  </w:pPr>
                  <w:r w:rsidRPr="00D05040">
                    <w:rPr>
                      <w:rFonts w:ascii="Times New Roman" w:hAnsi="Times New Roman" w:cs="Times New Roman"/>
                      <w:color w:val="000000"/>
                      <w:sz w:val="16"/>
                      <w:szCs w:val="16"/>
                    </w:rPr>
                    <w:t>2.63%</w:t>
                  </w:r>
                </w:p>
              </w:tc>
            </w:tr>
            <w:bookmarkEnd w:id="0"/>
          </w:tbl>
          <w:p w:rsidR="00CF648E" w:rsidRPr="006D2F55" w:rsidRDefault="00CF648E" w:rsidP="0066444D">
            <w:pPr>
              <w:jc w:val="center"/>
              <w:rPr>
                <w:rFonts w:ascii="Arial" w:eastAsia="Times New Roman" w:hAnsi="Arial" w:cs="Arial"/>
              </w:rPr>
            </w:pPr>
          </w:p>
        </w:tc>
      </w:tr>
    </w:tbl>
    <w:p w:rsidR="00C84839" w:rsidRDefault="0075491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83185</wp:posOffset>
                </wp:positionV>
                <wp:extent cx="6953250" cy="7721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72160"/>
                        </a:xfrm>
                        <a:prstGeom prst="rect">
                          <a:avLst/>
                        </a:prstGeom>
                        <a:solidFill>
                          <a:srgbClr val="FFFFFF"/>
                        </a:solidFill>
                        <a:ln w="9525">
                          <a:solidFill>
                            <a:srgbClr val="0070C0"/>
                          </a:solidFill>
                          <a:miter lim="800000"/>
                          <a:headEnd/>
                          <a:tailEnd/>
                        </a:ln>
                      </wps:spPr>
                      <wps:txbx>
                        <w:txbxContent>
                          <w:p w:rsidR="00454E21" w:rsidRPr="00454E21" w:rsidRDefault="00454E21" w:rsidP="00E25A4D">
                            <w:pPr>
                              <w:spacing w:after="0" w:line="240" w:lineRule="auto"/>
                              <w:jc w:val="both"/>
                              <w:rPr>
                                <w:rFonts w:ascii="Times New Roman" w:hAnsi="Times New Roman" w:cs="Times New Roman"/>
                                <w:b/>
                                <w:sz w:val="14"/>
                                <w:szCs w:val="16"/>
                              </w:rPr>
                            </w:pPr>
                            <w:r w:rsidRPr="00454E21">
                              <w:rPr>
                                <w:rFonts w:ascii="Times New Roman" w:hAnsi="Times New Roman" w:cs="Times New Roman"/>
                                <w:b/>
                                <w:sz w:val="14"/>
                                <w:szCs w:val="16"/>
                              </w:rPr>
                              <w:t xml:space="preserve">Disclaimer: </w:t>
                            </w:r>
                          </w:p>
                          <w:p w:rsidR="002D7F0F" w:rsidRPr="00022FED" w:rsidRDefault="002D7F0F" w:rsidP="00E25A4D">
                            <w:pPr>
                              <w:spacing w:after="0" w:line="240" w:lineRule="auto"/>
                              <w:jc w:val="both"/>
                              <w:rPr>
                                <w:rFonts w:ascii="Times New Roman" w:hAnsi="Times New Roman" w:cs="Times New Roman"/>
                                <w:sz w:val="14"/>
                                <w:szCs w:val="16"/>
                              </w:rPr>
                            </w:pP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VNMidcap</w:t>
                            </w:r>
                            <w:proofErr w:type="spellEnd"/>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VNSmallCap</w:t>
                            </w:r>
                            <w:proofErr w:type="spellEnd"/>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sz w:val="14"/>
                                <w:szCs w:val="16"/>
                              </w:rPr>
                              <w:t>” and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b/>
                                <w:sz w:val="14"/>
                                <w:szCs w:val="16"/>
                              </w:rPr>
                              <w:t xml:space="preserv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xml:space="preserve">") are the registered trademarks and/or service mark solely owned by, and proprietary to the </w:t>
                            </w:r>
                            <w:proofErr w:type="spellStart"/>
                            <w:r w:rsidRPr="00022FED">
                              <w:rPr>
                                <w:rFonts w:ascii="Times New Roman" w:hAnsi="Times New Roman" w:cs="Times New Roman"/>
                                <w:sz w:val="14"/>
                                <w:szCs w:val="16"/>
                              </w:rPr>
                              <w:t>Hochiminh</w:t>
                            </w:r>
                            <w:proofErr w:type="spellEnd"/>
                            <w:r w:rsidRPr="00022FED">
                              <w:rPr>
                                <w:rFonts w:ascii="Times New Roman" w:hAnsi="Times New Roman" w:cs="Times New Roman"/>
                                <w:sz w:val="14"/>
                                <w:szCs w:val="16"/>
                              </w:rPr>
                              <w:t xml:space="preserve"> Stock Exchange</w:t>
                            </w:r>
                            <w:r w:rsidR="00484AD8">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454E21" w:rsidRPr="00454E21" w:rsidRDefault="002D7F0F" w:rsidP="00E25A4D">
                            <w:pPr>
                              <w:spacing w:line="240" w:lineRule="auto"/>
                              <w:jc w:val="both"/>
                              <w:rPr>
                                <w:rFonts w:ascii="Times New Roman" w:hAnsi="Times New Roman" w:cs="Times New Roman"/>
                                <w:szCs w:val="16"/>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sidRPr="00022FED">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p w:rsidR="00454E21" w:rsidRPr="00454E21" w:rsidRDefault="00454E21" w:rsidP="00E25A4D">
                            <w:pPr>
                              <w:spacing w:line="240" w:lineRule="auto"/>
                              <w:rPr>
                                <w:szCs w:val="16"/>
                              </w:rPr>
                            </w:pPr>
                          </w:p>
                          <w:p w:rsidR="001517C6" w:rsidRPr="00454E21" w:rsidRDefault="001517C6" w:rsidP="00E25A4D">
                            <w:pPr>
                              <w:spacing w:line="240" w:lineRule="auto"/>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6.55pt;width:547.5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beMAIAAFAEAAAOAAAAZHJzL2Uyb0RvYy54bWysVNuO0zAQfUfiHyy/06TZXrZR09XSpQhp&#10;uUi7fIDjOImF4zG226R8PWOnLWURL4g8WB6PfebMmZms74ZOkYOwToIu6HSSUiI0h0rqpqBfn3dv&#10;bilxnumKKdCioEfh6N3m9at1b3KRQQuqEpYgiHZ5bwraem/yJHG8FR1zEzBCo7MG2zGPpm2SyrIe&#10;0TuVZGm6SHqwlbHAhXN4+jA66Sbi17Xg/nNdO+GJKihy83G1cS3DmmzWLG8sM63kJxrsH1h0TGoM&#10;eoF6YJ6RvZV/QHWSW3BQ+wmHLoG6llzEHDCbafoim6eWGRFzQXGcucjk/h8s/3T4YomsCnpDiWYd&#10;luhZDJ68hYFkQZ3euBwvPRm85gc8xirHTJ15BP7NEQ3blulG3FsLfStYheym4WVy9XTEcQGk7D9C&#10;hWHY3kMEGmrbBelQDILoWKXjpTKBCsfDxWp+k83RxdG3XGbTRSxdwvLza2Odfy+gI2FTUIuVj+js&#10;8Oh8YMPy85UQzIGS1U4qFQ3blFtlyYFhl+ziFxN4cU1p0hd0Nc/mowB/hUjTZbo9E/wtUic9truS&#10;XUFv0/CNDRhke6er2IyeSTXukbLSJx2DdKOIfiiHU11KqI6oqIWxrXEMcdOC/UFJjy1dUPd9z6yg&#10;RH3QWJXVdDYLMxCN2XyZoWGvPeW1h2mOUAX1lIzbrR/nZm+sbFqMNPaBhnusZC2jyKHkI6sTb2zb&#10;qP1pxMJcXNvx1q8fweYnAAAA//8DAFBLAwQUAAYACAAAACEA7siy4N4AAAAJAQAADwAAAGRycy9k&#10;b3ducmV2LnhtbEyPTUvDQBCG74L/YRnBm92NhtSm2RQ/EESQYiM9b7NjEt2PkN2m6b93ctLjPO/w&#10;zjPFZrKGjTiEzjsJyUIAQ1d73blGwmf1cnMPLETltDLeoYQzBtiUlxeFyrU/uQ8cd7FhVOJCriS0&#10;MfY556Fu0aqw8D06yr78YFWkcWi4HtSJyq3ht0Jk3KrO0YVW9fjUYv2zO1oJ75XQ5rvaZ2/J43J7&#10;HrPXsH1Opby+mh7WwCJO8W8ZZn1Sh5KcDv7odGBGQkrikfBdAmyOxWpF5DCTdAm8LPj/D8pfAAAA&#10;//8DAFBLAQItABQABgAIAAAAIQC2gziS/gAAAOEBAAATAAAAAAAAAAAAAAAAAAAAAABbQ29udGVu&#10;dF9UeXBlc10ueG1sUEsBAi0AFAAGAAgAAAAhADj9If/WAAAAlAEAAAsAAAAAAAAAAAAAAAAALwEA&#10;AF9yZWxzLy5yZWxzUEsBAi0AFAAGAAgAAAAhAJIJBt4wAgAAUAQAAA4AAAAAAAAAAAAAAAAALgIA&#10;AGRycy9lMm9Eb2MueG1sUEsBAi0AFAAGAAgAAAAhAO7IsuDeAAAACQEAAA8AAAAAAAAAAAAAAAAA&#10;igQAAGRycy9kb3ducmV2LnhtbFBLBQYAAAAABAAEAPMAAACVBQAAAAA=&#10;" strokecolor="#0070c0">
                <v:textbox>
                  <w:txbxContent>
                    <w:p w:rsidR="00454E21" w:rsidRPr="00454E21" w:rsidRDefault="00454E21" w:rsidP="00E25A4D">
                      <w:pPr>
                        <w:spacing w:after="0" w:line="240" w:lineRule="auto"/>
                        <w:jc w:val="both"/>
                        <w:rPr>
                          <w:rFonts w:ascii="Times New Roman" w:hAnsi="Times New Roman" w:cs="Times New Roman"/>
                          <w:b/>
                          <w:sz w:val="14"/>
                          <w:szCs w:val="16"/>
                        </w:rPr>
                      </w:pPr>
                      <w:r w:rsidRPr="00454E21">
                        <w:rPr>
                          <w:rFonts w:ascii="Times New Roman" w:hAnsi="Times New Roman" w:cs="Times New Roman"/>
                          <w:b/>
                          <w:sz w:val="14"/>
                          <w:szCs w:val="16"/>
                        </w:rPr>
                        <w:t xml:space="preserve">Disclaimer: </w:t>
                      </w:r>
                    </w:p>
                    <w:p w:rsidR="002D7F0F" w:rsidRPr="00022FED" w:rsidRDefault="002D7F0F" w:rsidP="00E25A4D">
                      <w:pPr>
                        <w:spacing w:after="0" w:line="240" w:lineRule="auto"/>
                        <w:jc w:val="both"/>
                        <w:rPr>
                          <w:rFonts w:ascii="Times New Roman" w:hAnsi="Times New Roman" w:cs="Times New Roman"/>
                          <w:sz w:val="14"/>
                          <w:szCs w:val="16"/>
                        </w:rPr>
                      </w:pP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r w:rsidRPr="00022FED">
                        <w:rPr>
                          <w:rFonts w:ascii="Times New Roman" w:hAnsi="Times New Roman" w:cs="Times New Roman"/>
                          <w:b/>
                          <w:sz w:val="14"/>
                          <w:szCs w:val="16"/>
                        </w:rPr>
                        <w:t>VNMidcap</w:t>
                      </w:r>
                      <w:r w:rsidRPr="00022FED">
                        <w:rPr>
                          <w:rFonts w:ascii="Times New Roman" w:hAnsi="Times New Roman" w:cs="Times New Roman"/>
                          <w:sz w:val="14"/>
                          <w:szCs w:val="16"/>
                        </w:rPr>
                        <w:t>", "</w:t>
                      </w:r>
                      <w:r w:rsidRPr="00022FED">
                        <w:rPr>
                          <w:rFonts w:ascii="Times New Roman" w:hAnsi="Times New Roman" w:cs="Times New Roman"/>
                          <w:b/>
                          <w:sz w:val="14"/>
                          <w:szCs w:val="16"/>
                        </w:rPr>
                        <w:t>VNSmallCap</w:t>
                      </w:r>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r w:rsidRPr="00022FED">
                        <w:rPr>
                          <w:rFonts w:ascii="Times New Roman" w:hAnsi="Times New Roman" w:cs="Times New Roman"/>
                          <w:b/>
                          <w:sz w:val="14"/>
                          <w:szCs w:val="16"/>
                        </w:rPr>
                        <w:t>VNAllshare</w:t>
                      </w:r>
                      <w:r w:rsidRPr="00022FED">
                        <w:rPr>
                          <w:rFonts w:ascii="Times New Roman" w:hAnsi="Times New Roman" w:cs="Times New Roman"/>
                          <w:sz w:val="14"/>
                          <w:szCs w:val="16"/>
                        </w:rPr>
                        <w:t>” and "</w:t>
                      </w:r>
                      <w:r w:rsidRPr="00022FED">
                        <w:rPr>
                          <w:rFonts w:ascii="Times New Roman" w:hAnsi="Times New Roman" w:cs="Times New Roman"/>
                          <w:b/>
                          <w:sz w:val="14"/>
                          <w:szCs w:val="16"/>
                        </w:rPr>
                        <w:t>VNAllshare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are the registered trademarks and/or service mark solely owned by, and proprietary to the Hochiminh Stock Exchange</w:t>
                      </w:r>
                      <w:r w:rsidR="00484AD8">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454E21" w:rsidRPr="00454E21" w:rsidRDefault="002D7F0F" w:rsidP="00E25A4D">
                      <w:pPr>
                        <w:spacing w:line="240" w:lineRule="auto"/>
                        <w:jc w:val="both"/>
                        <w:rPr>
                          <w:rFonts w:ascii="Times New Roman" w:hAnsi="Times New Roman" w:cs="Times New Roman"/>
                          <w:szCs w:val="16"/>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sidRPr="00022FED">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p w:rsidR="00454E21" w:rsidRPr="00454E21" w:rsidRDefault="00454E21" w:rsidP="00E25A4D">
                      <w:pPr>
                        <w:spacing w:line="240" w:lineRule="auto"/>
                        <w:rPr>
                          <w:szCs w:val="16"/>
                        </w:rPr>
                      </w:pPr>
                    </w:p>
                    <w:p w:rsidR="001517C6" w:rsidRPr="00454E21" w:rsidRDefault="001517C6" w:rsidP="00E25A4D">
                      <w:pPr>
                        <w:spacing w:line="240" w:lineRule="auto"/>
                        <w:rPr>
                          <w:sz w:val="14"/>
                          <w:szCs w:val="14"/>
                        </w:rPr>
                      </w:pPr>
                    </w:p>
                  </w:txbxContent>
                </v:textbox>
              </v:shape>
            </w:pict>
          </mc:Fallback>
        </mc:AlternateContent>
      </w:r>
    </w:p>
    <w:sectPr w:rsidR="00C84839" w:rsidSect="0057266E">
      <w:headerReference w:type="even" r:id="rId10"/>
      <w:headerReference w:type="default" r:id="rId11"/>
      <w:footerReference w:type="even" r:id="rId12"/>
      <w:footerReference w:type="default" r:id="rId13"/>
      <w:headerReference w:type="first" r:id="rId14"/>
      <w:footerReference w:type="first" r:id="rId15"/>
      <w:pgSz w:w="11909" w:h="16834" w:code="9"/>
      <w:pgMar w:top="432" w:right="389" w:bottom="432" w:left="432" w:header="86"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F5" w:rsidRDefault="00FE53F5" w:rsidP="00A13865">
      <w:pPr>
        <w:spacing w:after="0" w:line="240" w:lineRule="auto"/>
      </w:pPr>
      <w:r>
        <w:separator/>
      </w:r>
    </w:p>
  </w:endnote>
  <w:endnote w:type="continuationSeparator" w:id="0">
    <w:p w:rsidR="00FE53F5" w:rsidRDefault="00FE53F5" w:rsidP="00A1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5E" w:rsidRDefault="00FD6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41" w:rsidRDefault="00754917" w:rsidP="00D77B5E">
    <w:pPr>
      <w:pStyle w:val="Footer"/>
      <w:tabs>
        <w:tab w:val="clear" w:pos="4680"/>
        <w:tab w:val="clear" w:pos="9360"/>
        <w:tab w:val="left" w:pos="0"/>
        <w:tab w:val="right" w:pos="9072"/>
        <w:tab w:val="right" w:pos="9639"/>
      </w:tabs>
      <w:rPr>
        <w:sz w:val="16"/>
      </w:rPr>
    </w:pPr>
    <w:r>
      <w:rPr>
        <w:noProof/>
        <w:sz w:val="16"/>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57784</wp:posOffset>
              </wp:positionV>
              <wp:extent cx="65087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7E849" id="_x0000_t32" coordsize="21600,21600" o:spt="32" o:oned="t" path="m,l21600,21600e" filled="f">
              <v:path arrowok="t" fillok="f" o:connecttype="none"/>
              <o:lock v:ext="edit" shapetype="t"/>
            </v:shapetype>
            <v:shape id="AutoShape 1" o:spid="_x0000_s1026" type="#_x0000_t32" style="position:absolute;margin-left:1.6pt;margin-top:4.55pt;width:5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dx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m6bzhykwR6+6hBRXR2Od/8h1j4JQYuctEW3nK60UEK9tFsOQw7Pz&#10;UAg4Xh1CVKU3QsrIv1RoKPFiOplGB6elYEEZzJxtd5W06EDCBMUvdAXA7sys3isWwTpO2PoieyLk&#10;WQZ7qQIeFAbpXKTziHxbpIv1fD3PR/lkth7laV2PnjZVPpptsodp/aGuqjr7HlLL8qITjHEVsruO&#10;a5b/3ThcFuc8aLeBvbUhuUePJUKy139MOjIbyDyPxU6z09aGbgSSYUKj8WWbwgr8eo9WP3d+9QMA&#10;AP//AwBQSwMEFAAGAAgAAAAhAMutAs/aAAAABgEAAA8AAABkcnMvZG93bnJldi54bWxMjs1OwzAQ&#10;hO9IvIO1lbggaieoqA1xqgqJA0faSly38ZKExusodprQp8fl0h7nRzNfvp5sK07U+8axhmSuQBCX&#10;zjRcadjv3p+WIHxANtg6Jg2/5GFd3N/lmBk38iedtqEScYR9hhrqELpMSl/WZNHPXUccs2/XWwxR&#10;9pU0PY5x3LYyVepFWmw4PtTY0VtN5XE7WA3kh0WiNitb7T/O4+NXev4Zu53WD7Np8woi0BSuZbjg&#10;R3QoItPBDWy8aDU8p7GoYZWAuKQqXUbj8G/IIpe3+MUfAAAA//8DAFBLAQItABQABgAIAAAAIQC2&#10;gziS/gAAAOEBAAATAAAAAAAAAAAAAAAAAAAAAABbQ29udGVudF9UeXBlc10ueG1sUEsBAi0AFAAG&#10;AAgAAAAhADj9If/WAAAAlAEAAAsAAAAAAAAAAAAAAAAALwEAAF9yZWxzLy5yZWxzUEsBAi0AFAAG&#10;AAgAAAAhAIegt3EfAgAAOwQAAA4AAAAAAAAAAAAAAAAALgIAAGRycy9lMm9Eb2MueG1sUEsBAi0A&#10;FAAGAAgAAAAhAMutAs/aAAAABgEAAA8AAAAAAAAAAAAAAAAAeQQAAGRycy9kb3ducmV2LnhtbFBL&#10;BQYAAAAABAAEAPMAAACABQAAAAA=&#10;"/>
          </w:pict>
        </mc:Fallback>
      </mc:AlternateContent>
    </w:r>
    <w:r w:rsidR="001F0241">
      <w:rPr>
        <w:noProof/>
        <w:sz w:val="16"/>
      </w:rPr>
      <w:drawing>
        <wp:anchor distT="0" distB="0" distL="114300" distR="114300" simplePos="0" relativeHeight="251659264" behindDoc="0" locked="0" layoutInCell="1" allowOverlap="1">
          <wp:simplePos x="0" y="0"/>
          <wp:positionH relativeFrom="column">
            <wp:posOffset>6583680</wp:posOffset>
          </wp:positionH>
          <wp:positionV relativeFrom="paragraph">
            <wp:posOffset>116205</wp:posOffset>
          </wp:positionV>
          <wp:extent cx="456565" cy="457200"/>
          <wp:effectExtent l="19050" t="0" r="63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6565" cy="457200"/>
                  </a:xfrm>
                  <a:prstGeom prst="rect">
                    <a:avLst/>
                  </a:prstGeom>
                  <a:noFill/>
                  <a:ln w="9525">
                    <a:noFill/>
                    <a:miter lim="800000"/>
                    <a:headEnd/>
                    <a:tailEnd/>
                  </a:ln>
                </pic:spPr>
              </pic:pic>
            </a:graphicData>
          </a:graphic>
        </wp:anchor>
      </w:drawing>
    </w:r>
    <w:r w:rsidR="001F0241">
      <w:rPr>
        <w:sz w:val="16"/>
      </w:rPr>
      <w:tab/>
    </w:r>
  </w:p>
  <w:p w:rsidR="00A271A6" w:rsidRDefault="00B863C9" w:rsidP="00B863C9">
    <w:pPr>
      <w:pStyle w:val="Footer"/>
      <w:tabs>
        <w:tab w:val="clear" w:pos="4680"/>
        <w:tab w:val="clear" w:pos="9360"/>
        <w:tab w:val="right" w:pos="10260"/>
      </w:tabs>
      <w:ind w:left="5245"/>
      <w:rPr>
        <w:rFonts w:ascii="Times New Roman" w:hAnsi="Times New Roman" w:cs="Times New Roman"/>
        <w:b/>
        <w:sz w:val="18"/>
        <w:szCs w:val="18"/>
      </w:rPr>
    </w:pPr>
    <w:r>
      <w:rPr>
        <w:rFonts w:ascii="Times New Roman" w:hAnsi="Times New Roman" w:cs="Times New Roman"/>
        <w:b/>
        <w:sz w:val="18"/>
        <w:szCs w:val="18"/>
      </w:rPr>
      <w:tab/>
    </w:r>
    <w:proofErr w:type="spellStart"/>
    <w:r>
      <w:rPr>
        <w:rFonts w:ascii="Times New Roman" w:hAnsi="Times New Roman" w:cs="Times New Roman"/>
        <w:b/>
        <w:sz w:val="18"/>
        <w:szCs w:val="18"/>
      </w:rPr>
      <w:t>Hochiminh</w:t>
    </w:r>
    <w:proofErr w:type="spellEnd"/>
    <w:r>
      <w:rPr>
        <w:rFonts w:ascii="Times New Roman" w:hAnsi="Times New Roman" w:cs="Times New Roman"/>
        <w:b/>
        <w:sz w:val="18"/>
        <w:szCs w:val="18"/>
      </w:rPr>
      <w:t xml:space="preserve"> Stock Exchange</w:t>
    </w:r>
  </w:p>
  <w:p w:rsidR="00A271A6" w:rsidRDefault="00A271A6" w:rsidP="00A271A6">
    <w:pPr>
      <w:pStyle w:val="Footer"/>
      <w:tabs>
        <w:tab w:val="clear" w:pos="4680"/>
        <w:tab w:val="clear" w:pos="9360"/>
        <w:tab w:val="right" w:pos="10260"/>
      </w:tabs>
      <w:ind w:left="720"/>
      <w:rPr>
        <w:rFonts w:ascii="Times New Roman" w:hAnsi="Times New Roman" w:cs="Times New Roman"/>
        <w:sz w:val="18"/>
        <w:szCs w:val="18"/>
      </w:rPr>
    </w:pPr>
    <w:r>
      <w:rPr>
        <w:rFonts w:ascii="Times New Roman" w:hAnsi="Times New Roman" w:cs="Times New Roman"/>
        <w:sz w:val="18"/>
        <w:szCs w:val="18"/>
      </w:rPr>
      <w:tab/>
    </w:r>
    <w:r w:rsidR="00B863C9">
      <w:rPr>
        <w:rFonts w:ascii="Times New Roman" w:hAnsi="Times New Roman" w:cs="Times New Roman"/>
        <w:sz w:val="18"/>
        <w:szCs w:val="18"/>
      </w:rPr>
      <w:t xml:space="preserve">16 </w:t>
    </w:r>
    <w:r w:rsidR="00B863C9" w:rsidRPr="000C7FD2">
      <w:rPr>
        <w:rFonts w:ascii="Times New Roman" w:hAnsi="Times New Roman" w:cs="Times New Roman"/>
        <w:sz w:val="18"/>
        <w:szCs w:val="18"/>
      </w:rPr>
      <w:t>V</w:t>
    </w:r>
    <w:r w:rsidR="00B863C9">
      <w:rPr>
        <w:rFonts w:ascii="Times New Roman" w:hAnsi="Times New Roman" w:cs="Times New Roman"/>
        <w:sz w:val="18"/>
        <w:szCs w:val="18"/>
      </w:rPr>
      <w:t xml:space="preserve">o </w:t>
    </w:r>
    <w:r w:rsidR="00B863C9" w:rsidRPr="000C7FD2">
      <w:rPr>
        <w:rFonts w:ascii="Times New Roman" w:hAnsi="Times New Roman" w:cs="Times New Roman"/>
        <w:sz w:val="18"/>
        <w:szCs w:val="18"/>
      </w:rPr>
      <w:t>V</w:t>
    </w:r>
    <w:r w:rsidR="00B863C9">
      <w:rPr>
        <w:rFonts w:ascii="Times New Roman" w:hAnsi="Times New Roman" w:cs="Times New Roman"/>
        <w:sz w:val="18"/>
        <w:szCs w:val="18"/>
      </w:rPr>
      <w:t>a</w:t>
    </w:r>
    <w:r w:rsidR="00B863C9" w:rsidRPr="000C7FD2">
      <w:rPr>
        <w:rFonts w:ascii="Times New Roman" w:hAnsi="Times New Roman" w:cs="Times New Roman"/>
        <w:sz w:val="18"/>
        <w:szCs w:val="18"/>
      </w:rPr>
      <w:t xml:space="preserve">n </w:t>
    </w:r>
    <w:proofErr w:type="spellStart"/>
    <w:r w:rsidR="00B863C9" w:rsidRPr="000C7FD2">
      <w:rPr>
        <w:rFonts w:ascii="Times New Roman" w:hAnsi="Times New Roman" w:cs="Times New Roman"/>
        <w:sz w:val="18"/>
        <w:szCs w:val="18"/>
      </w:rPr>
      <w:t>Ki</w:t>
    </w:r>
    <w:r w:rsidR="00B863C9">
      <w:rPr>
        <w:rFonts w:ascii="Times New Roman" w:hAnsi="Times New Roman" w:cs="Times New Roman"/>
        <w:sz w:val="18"/>
        <w:szCs w:val="18"/>
      </w:rPr>
      <w:t>e</w:t>
    </w:r>
    <w:r w:rsidR="00B863C9" w:rsidRPr="000C7FD2">
      <w:rPr>
        <w:rFonts w:ascii="Times New Roman" w:hAnsi="Times New Roman" w:cs="Times New Roman"/>
        <w:sz w:val="18"/>
        <w:szCs w:val="18"/>
      </w:rPr>
      <w:t>t</w:t>
    </w:r>
    <w:proofErr w:type="spellEnd"/>
    <w:r w:rsidR="00B863C9">
      <w:rPr>
        <w:rFonts w:ascii="Times New Roman" w:hAnsi="Times New Roman" w:cs="Times New Roman"/>
        <w:sz w:val="18"/>
        <w:szCs w:val="18"/>
      </w:rPr>
      <w:t xml:space="preserve"> Street</w:t>
    </w:r>
    <w:r w:rsidR="00B863C9" w:rsidRPr="000C7FD2">
      <w:rPr>
        <w:rFonts w:ascii="Times New Roman" w:hAnsi="Times New Roman" w:cs="Times New Roman"/>
        <w:sz w:val="18"/>
        <w:szCs w:val="18"/>
      </w:rPr>
      <w:t xml:space="preserve">, </w:t>
    </w:r>
    <w:r w:rsidR="00B863C9">
      <w:rPr>
        <w:rFonts w:ascii="Times New Roman" w:hAnsi="Times New Roman" w:cs="Times New Roman"/>
        <w:sz w:val="18"/>
        <w:szCs w:val="18"/>
      </w:rPr>
      <w:t>Nguyen Thai Binh Ward</w:t>
    </w:r>
    <w:r w:rsidR="00B863C9" w:rsidRPr="000C7FD2">
      <w:rPr>
        <w:rFonts w:ascii="Times New Roman" w:hAnsi="Times New Roman" w:cs="Times New Roman"/>
        <w:sz w:val="18"/>
        <w:szCs w:val="18"/>
      </w:rPr>
      <w:t xml:space="preserve">, </w:t>
    </w:r>
    <w:r w:rsidR="00B863C9">
      <w:rPr>
        <w:rFonts w:ascii="Times New Roman" w:hAnsi="Times New Roman" w:cs="Times New Roman"/>
        <w:sz w:val="18"/>
        <w:szCs w:val="18"/>
      </w:rPr>
      <w:t>District 1</w:t>
    </w:r>
    <w:r w:rsidR="00B863C9" w:rsidRPr="000C7FD2">
      <w:rPr>
        <w:rFonts w:ascii="Times New Roman" w:hAnsi="Times New Roman" w:cs="Times New Roman"/>
        <w:sz w:val="18"/>
        <w:szCs w:val="18"/>
      </w:rPr>
      <w:t xml:space="preserve">, </w:t>
    </w:r>
    <w:r w:rsidR="00B863C9">
      <w:rPr>
        <w:rFonts w:ascii="Times New Roman" w:hAnsi="Times New Roman" w:cs="Times New Roman"/>
        <w:sz w:val="18"/>
        <w:szCs w:val="18"/>
      </w:rPr>
      <w:t>Ho Chi Minh city</w:t>
    </w:r>
  </w:p>
  <w:p w:rsidR="00A271A6" w:rsidRDefault="00A271A6" w:rsidP="00A271A6">
    <w:pPr>
      <w:pStyle w:val="Footer"/>
      <w:tabs>
        <w:tab w:val="clear" w:pos="4680"/>
        <w:tab w:val="clear" w:pos="9360"/>
        <w:tab w:val="right" w:pos="10260"/>
      </w:tabs>
      <w:ind w:left="720"/>
      <w:rPr>
        <w:rFonts w:ascii="Times New Roman" w:hAnsi="Times New Roman" w:cs="Times New Roman"/>
        <w:sz w:val="18"/>
        <w:szCs w:val="18"/>
      </w:rPr>
    </w:pPr>
    <w:r>
      <w:rPr>
        <w:rFonts w:ascii="Times New Roman" w:hAnsi="Times New Roman" w:cs="Times New Roman"/>
        <w:sz w:val="18"/>
        <w:szCs w:val="18"/>
      </w:rPr>
      <w:tab/>
    </w:r>
    <w:r w:rsidR="00B863C9">
      <w:rPr>
        <w:rFonts w:ascii="Times New Roman" w:hAnsi="Times New Roman" w:cs="Times New Roman"/>
        <w:sz w:val="18"/>
        <w:szCs w:val="18"/>
      </w:rPr>
      <w:t>Phone</w:t>
    </w:r>
    <w:r>
      <w:rPr>
        <w:rFonts w:ascii="Times New Roman" w:hAnsi="Times New Roman" w:cs="Times New Roman"/>
        <w:sz w:val="18"/>
        <w:szCs w:val="18"/>
      </w:rPr>
      <w:t>: (84.8) 3821.7713 - Fax: (84.8) 3821.7452</w:t>
    </w:r>
  </w:p>
  <w:p w:rsidR="00A271A6" w:rsidRDefault="00A271A6" w:rsidP="00A271A6">
    <w:pPr>
      <w:pStyle w:val="Footer"/>
      <w:tabs>
        <w:tab w:val="clear" w:pos="4680"/>
        <w:tab w:val="clear" w:pos="9360"/>
        <w:tab w:val="right" w:pos="10260"/>
      </w:tabs>
      <w:rPr>
        <w:rFonts w:ascii="Times New Roman" w:hAnsi="Times New Roman" w:cs="Times New Roman"/>
        <w:sz w:val="18"/>
        <w:szCs w:val="18"/>
      </w:rPr>
    </w:pPr>
    <w:r>
      <w:rPr>
        <w:rFonts w:ascii="Times New Roman" w:hAnsi="Times New Roman" w:cs="Times New Roman"/>
        <w:sz w:val="18"/>
        <w:szCs w:val="18"/>
      </w:rPr>
      <w:tab/>
      <w:t>Website: www.hsx.vn</w:t>
    </w:r>
  </w:p>
  <w:p w:rsidR="001F0241" w:rsidRDefault="001F0241" w:rsidP="00A271A6">
    <w:pPr>
      <w:pStyle w:val="Footer"/>
      <w:tabs>
        <w:tab w:val="clear" w:pos="4680"/>
        <w:tab w:val="clear" w:pos="9360"/>
        <w:tab w:val="right" w:pos="102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5E" w:rsidRDefault="00FD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F5" w:rsidRDefault="00FE53F5" w:rsidP="00A13865">
      <w:pPr>
        <w:spacing w:after="0" w:line="240" w:lineRule="auto"/>
      </w:pPr>
      <w:r>
        <w:separator/>
      </w:r>
    </w:p>
  </w:footnote>
  <w:footnote w:type="continuationSeparator" w:id="0">
    <w:p w:rsidR="00FE53F5" w:rsidRDefault="00FE53F5" w:rsidP="00A1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5E" w:rsidRDefault="00FD6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5E" w:rsidRDefault="00FD6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5E" w:rsidRDefault="00FD6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A75"/>
    <w:multiLevelType w:val="hybridMultilevel"/>
    <w:tmpl w:val="7D5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81AFB"/>
    <w:multiLevelType w:val="hybridMultilevel"/>
    <w:tmpl w:val="A54A8DD6"/>
    <w:lvl w:ilvl="0" w:tplc="04090005">
      <w:start w:val="1"/>
      <w:numFmt w:val="bullet"/>
      <w:lvlText w:val=""/>
      <w:lvlJc w:val="left"/>
      <w:pPr>
        <w:ind w:left="2718" w:hanging="360"/>
      </w:pPr>
      <w:rPr>
        <w:rFonts w:ascii="Wingdings" w:hAnsi="Wingdings" w:hint="default"/>
      </w:rPr>
    </w:lvl>
    <w:lvl w:ilvl="1" w:tplc="04090019" w:tentative="1">
      <w:start w:val="1"/>
      <w:numFmt w:val="lowerLetter"/>
      <w:lvlText w:val="%2."/>
      <w:lvlJc w:val="left"/>
      <w:pPr>
        <w:ind w:left="3438" w:hanging="360"/>
      </w:pPr>
    </w:lvl>
    <w:lvl w:ilvl="2" w:tplc="0409001B" w:tentative="1">
      <w:start w:val="1"/>
      <w:numFmt w:val="lowerRoman"/>
      <w:lvlText w:val="%3."/>
      <w:lvlJc w:val="right"/>
      <w:pPr>
        <w:ind w:left="4158" w:hanging="180"/>
      </w:pPr>
    </w:lvl>
    <w:lvl w:ilvl="3" w:tplc="0409000F" w:tentative="1">
      <w:start w:val="1"/>
      <w:numFmt w:val="decimal"/>
      <w:lvlText w:val="%4."/>
      <w:lvlJc w:val="left"/>
      <w:pPr>
        <w:ind w:left="4878" w:hanging="360"/>
      </w:pPr>
    </w:lvl>
    <w:lvl w:ilvl="4" w:tplc="04090019" w:tentative="1">
      <w:start w:val="1"/>
      <w:numFmt w:val="lowerLetter"/>
      <w:lvlText w:val="%5."/>
      <w:lvlJc w:val="left"/>
      <w:pPr>
        <w:ind w:left="5598" w:hanging="360"/>
      </w:pPr>
    </w:lvl>
    <w:lvl w:ilvl="5" w:tplc="0409001B" w:tentative="1">
      <w:start w:val="1"/>
      <w:numFmt w:val="lowerRoman"/>
      <w:lvlText w:val="%6."/>
      <w:lvlJc w:val="right"/>
      <w:pPr>
        <w:ind w:left="6318" w:hanging="180"/>
      </w:pPr>
    </w:lvl>
    <w:lvl w:ilvl="6" w:tplc="0409000F" w:tentative="1">
      <w:start w:val="1"/>
      <w:numFmt w:val="decimal"/>
      <w:lvlText w:val="%7."/>
      <w:lvlJc w:val="left"/>
      <w:pPr>
        <w:ind w:left="7038" w:hanging="360"/>
      </w:pPr>
    </w:lvl>
    <w:lvl w:ilvl="7" w:tplc="04090019" w:tentative="1">
      <w:start w:val="1"/>
      <w:numFmt w:val="lowerLetter"/>
      <w:lvlText w:val="%8."/>
      <w:lvlJc w:val="left"/>
      <w:pPr>
        <w:ind w:left="7758" w:hanging="360"/>
      </w:pPr>
    </w:lvl>
    <w:lvl w:ilvl="8" w:tplc="0409001B" w:tentative="1">
      <w:start w:val="1"/>
      <w:numFmt w:val="lowerRoman"/>
      <w:lvlText w:val="%9."/>
      <w:lvlJc w:val="right"/>
      <w:pPr>
        <w:ind w:left="8478" w:hanging="180"/>
      </w:pPr>
    </w:lvl>
  </w:abstractNum>
  <w:abstractNum w:abstractNumId="2" w15:restartNumberingAfterBreak="0">
    <w:nsid w:val="3D1632D7"/>
    <w:multiLevelType w:val="hybridMultilevel"/>
    <w:tmpl w:val="551A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60CB5"/>
    <w:multiLevelType w:val="hybridMultilevel"/>
    <w:tmpl w:val="E4F2BBAE"/>
    <w:lvl w:ilvl="0" w:tplc="8BE8A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D5B62"/>
    <w:multiLevelType w:val="hybridMultilevel"/>
    <w:tmpl w:val="31945728"/>
    <w:lvl w:ilvl="0" w:tplc="E9D0764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43"/>
    <w:rsid w:val="00002768"/>
    <w:rsid w:val="000060FE"/>
    <w:rsid w:val="00007DD0"/>
    <w:rsid w:val="00010C0C"/>
    <w:rsid w:val="00015C86"/>
    <w:rsid w:val="00025BD8"/>
    <w:rsid w:val="0002763D"/>
    <w:rsid w:val="00027DBC"/>
    <w:rsid w:val="00031283"/>
    <w:rsid w:val="00035BCA"/>
    <w:rsid w:val="000379EB"/>
    <w:rsid w:val="00047536"/>
    <w:rsid w:val="00056FFC"/>
    <w:rsid w:val="000603D5"/>
    <w:rsid w:val="00060415"/>
    <w:rsid w:val="0006583E"/>
    <w:rsid w:val="000672AC"/>
    <w:rsid w:val="00076514"/>
    <w:rsid w:val="00077BFB"/>
    <w:rsid w:val="0008160E"/>
    <w:rsid w:val="00086321"/>
    <w:rsid w:val="00086CA7"/>
    <w:rsid w:val="0009725A"/>
    <w:rsid w:val="00097EA8"/>
    <w:rsid w:val="000A42FD"/>
    <w:rsid w:val="000A71BE"/>
    <w:rsid w:val="000B0889"/>
    <w:rsid w:val="000B2333"/>
    <w:rsid w:val="000B3930"/>
    <w:rsid w:val="000B4952"/>
    <w:rsid w:val="000C374E"/>
    <w:rsid w:val="000C552D"/>
    <w:rsid w:val="000C5FA1"/>
    <w:rsid w:val="000C7FD2"/>
    <w:rsid w:val="000D5BA8"/>
    <w:rsid w:val="000D5C5B"/>
    <w:rsid w:val="000E39C2"/>
    <w:rsid w:val="000E5F4D"/>
    <w:rsid w:val="000F6696"/>
    <w:rsid w:val="00103329"/>
    <w:rsid w:val="0010667C"/>
    <w:rsid w:val="0010674A"/>
    <w:rsid w:val="00106E90"/>
    <w:rsid w:val="001137E8"/>
    <w:rsid w:val="00115F45"/>
    <w:rsid w:val="001163CA"/>
    <w:rsid w:val="001236A4"/>
    <w:rsid w:val="001266E7"/>
    <w:rsid w:val="00132C38"/>
    <w:rsid w:val="001335C4"/>
    <w:rsid w:val="001356E6"/>
    <w:rsid w:val="001358BB"/>
    <w:rsid w:val="0013623C"/>
    <w:rsid w:val="001370C1"/>
    <w:rsid w:val="001517C6"/>
    <w:rsid w:val="00155623"/>
    <w:rsid w:val="00155E63"/>
    <w:rsid w:val="00165395"/>
    <w:rsid w:val="00165674"/>
    <w:rsid w:val="00170202"/>
    <w:rsid w:val="001704E5"/>
    <w:rsid w:val="00172CA5"/>
    <w:rsid w:val="00182A5C"/>
    <w:rsid w:val="0018502C"/>
    <w:rsid w:val="001875B0"/>
    <w:rsid w:val="001918E6"/>
    <w:rsid w:val="0019417E"/>
    <w:rsid w:val="001B2519"/>
    <w:rsid w:val="001B2738"/>
    <w:rsid w:val="001B456E"/>
    <w:rsid w:val="001C201D"/>
    <w:rsid w:val="001C2B68"/>
    <w:rsid w:val="001C42F4"/>
    <w:rsid w:val="001C51D6"/>
    <w:rsid w:val="001C7B51"/>
    <w:rsid w:val="001D3A5E"/>
    <w:rsid w:val="001E35D7"/>
    <w:rsid w:val="001E440A"/>
    <w:rsid w:val="001E5943"/>
    <w:rsid w:val="001E75CE"/>
    <w:rsid w:val="001F0241"/>
    <w:rsid w:val="001F67C4"/>
    <w:rsid w:val="001F7035"/>
    <w:rsid w:val="001F7F9B"/>
    <w:rsid w:val="00200B91"/>
    <w:rsid w:val="0020209C"/>
    <w:rsid w:val="002037F4"/>
    <w:rsid w:val="00206AEC"/>
    <w:rsid w:val="00212A7C"/>
    <w:rsid w:val="002148E4"/>
    <w:rsid w:val="002210AA"/>
    <w:rsid w:val="002225BF"/>
    <w:rsid w:val="00223E8C"/>
    <w:rsid w:val="00231BFE"/>
    <w:rsid w:val="00240A0E"/>
    <w:rsid w:val="00242ADE"/>
    <w:rsid w:val="00242C0A"/>
    <w:rsid w:val="00243E29"/>
    <w:rsid w:val="00252690"/>
    <w:rsid w:val="00253D08"/>
    <w:rsid w:val="0025409B"/>
    <w:rsid w:val="002545C2"/>
    <w:rsid w:val="00254749"/>
    <w:rsid w:val="00257AAB"/>
    <w:rsid w:val="002623A5"/>
    <w:rsid w:val="00265A59"/>
    <w:rsid w:val="00267B7C"/>
    <w:rsid w:val="00273155"/>
    <w:rsid w:val="00276DCC"/>
    <w:rsid w:val="00280264"/>
    <w:rsid w:val="00285EB5"/>
    <w:rsid w:val="002A116A"/>
    <w:rsid w:val="002B3E23"/>
    <w:rsid w:val="002C1329"/>
    <w:rsid w:val="002C3A5C"/>
    <w:rsid w:val="002D0B9F"/>
    <w:rsid w:val="002D1729"/>
    <w:rsid w:val="002D7F0F"/>
    <w:rsid w:val="002E2190"/>
    <w:rsid w:val="002E2286"/>
    <w:rsid w:val="002E3AFE"/>
    <w:rsid w:val="002E415A"/>
    <w:rsid w:val="002F1DFC"/>
    <w:rsid w:val="002F391E"/>
    <w:rsid w:val="00301A9C"/>
    <w:rsid w:val="00303743"/>
    <w:rsid w:val="003201F6"/>
    <w:rsid w:val="00320D39"/>
    <w:rsid w:val="00331695"/>
    <w:rsid w:val="00333B28"/>
    <w:rsid w:val="00335A1D"/>
    <w:rsid w:val="003366DA"/>
    <w:rsid w:val="003402FB"/>
    <w:rsid w:val="003405D4"/>
    <w:rsid w:val="00340BDA"/>
    <w:rsid w:val="003423D4"/>
    <w:rsid w:val="00344E2E"/>
    <w:rsid w:val="00351009"/>
    <w:rsid w:val="00355CE6"/>
    <w:rsid w:val="00356D87"/>
    <w:rsid w:val="00361D82"/>
    <w:rsid w:val="0036743E"/>
    <w:rsid w:val="00374223"/>
    <w:rsid w:val="00380114"/>
    <w:rsid w:val="00384992"/>
    <w:rsid w:val="0039304E"/>
    <w:rsid w:val="00395AE4"/>
    <w:rsid w:val="003979AD"/>
    <w:rsid w:val="003A2AA5"/>
    <w:rsid w:val="003A7587"/>
    <w:rsid w:val="003B2E03"/>
    <w:rsid w:val="003B4DE0"/>
    <w:rsid w:val="003B5159"/>
    <w:rsid w:val="003B68E2"/>
    <w:rsid w:val="003B72AD"/>
    <w:rsid w:val="003B79FF"/>
    <w:rsid w:val="003C0684"/>
    <w:rsid w:val="003C2DD5"/>
    <w:rsid w:val="003C5ACC"/>
    <w:rsid w:val="003E5AC9"/>
    <w:rsid w:val="003F61B6"/>
    <w:rsid w:val="00401B7D"/>
    <w:rsid w:val="00402192"/>
    <w:rsid w:val="00403681"/>
    <w:rsid w:val="004101EB"/>
    <w:rsid w:val="00412A9A"/>
    <w:rsid w:val="00427B76"/>
    <w:rsid w:val="0043136E"/>
    <w:rsid w:val="00431DD0"/>
    <w:rsid w:val="00432D0A"/>
    <w:rsid w:val="00441D1C"/>
    <w:rsid w:val="00442084"/>
    <w:rsid w:val="00442EC4"/>
    <w:rsid w:val="00446F9E"/>
    <w:rsid w:val="00453EE3"/>
    <w:rsid w:val="00454E21"/>
    <w:rsid w:val="00460016"/>
    <w:rsid w:val="00460D4B"/>
    <w:rsid w:val="00463686"/>
    <w:rsid w:val="004644C1"/>
    <w:rsid w:val="00465C63"/>
    <w:rsid w:val="004660DC"/>
    <w:rsid w:val="004703DA"/>
    <w:rsid w:val="00474179"/>
    <w:rsid w:val="00483522"/>
    <w:rsid w:val="00484AD8"/>
    <w:rsid w:val="00486DC1"/>
    <w:rsid w:val="00493228"/>
    <w:rsid w:val="004932BF"/>
    <w:rsid w:val="00495D14"/>
    <w:rsid w:val="004A178C"/>
    <w:rsid w:val="004B2934"/>
    <w:rsid w:val="004B6A59"/>
    <w:rsid w:val="004B7830"/>
    <w:rsid w:val="004D18B7"/>
    <w:rsid w:val="004D6C81"/>
    <w:rsid w:val="004D70C3"/>
    <w:rsid w:val="004D75AE"/>
    <w:rsid w:val="004D79CC"/>
    <w:rsid w:val="004E1251"/>
    <w:rsid w:val="004E50B9"/>
    <w:rsid w:val="004E69F8"/>
    <w:rsid w:val="004E6D7C"/>
    <w:rsid w:val="004F02B2"/>
    <w:rsid w:val="004F2F2F"/>
    <w:rsid w:val="004F39DB"/>
    <w:rsid w:val="004F5B04"/>
    <w:rsid w:val="004F67BA"/>
    <w:rsid w:val="0050453C"/>
    <w:rsid w:val="00513043"/>
    <w:rsid w:val="005138B5"/>
    <w:rsid w:val="00513921"/>
    <w:rsid w:val="00516351"/>
    <w:rsid w:val="00525454"/>
    <w:rsid w:val="00530485"/>
    <w:rsid w:val="0053062D"/>
    <w:rsid w:val="0053730B"/>
    <w:rsid w:val="00541BDF"/>
    <w:rsid w:val="00552CEE"/>
    <w:rsid w:val="0055404A"/>
    <w:rsid w:val="00557AD4"/>
    <w:rsid w:val="00570619"/>
    <w:rsid w:val="0057266E"/>
    <w:rsid w:val="00572E5E"/>
    <w:rsid w:val="005769EA"/>
    <w:rsid w:val="005821E8"/>
    <w:rsid w:val="00582781"/>
    <w:rsid w:val="005834DE"/>
    <w:rsid w:val="00583757"/>
    <w:rsid w:val="00583937"/>
    <w:rsid w:val="00594401"/>
    <w:rsid w:val="00595C93"/>
    <w:rsid w:val="005A421C"/>
    <w:rsid w:val="005A49A3"/>
    <w:rsid w:val="005B5ADF"/>
    <w:rsid w:val="005B669A"/>
    <w:rsid w:val="005B7F43"/>
    <w:rsid w:val="005C016B"/>
    <w:rsid w:val="005C1545"/>
    <w:rsid w:val="005D2453"/>
    <w:rsid w:val="005D5404"/>
    <w:rsid w:val="005E063F"/>
    <w:rsid w:val="005E18B6"/>
    <w:rsid w:val="005E2DB4"/>
    <w:rsid w:val="005F0460"/>
    <w:rsid w:val="005F588B"/>
    <w:rsid w:val="005F634E"/>
    <w:rsid w:val="00601693"/>
    <w:rsid w:val="006017F1"/>
    <w:rsid w:val="00616C44"/>
    <w:rsid w:val="00617214"/>
    <w:rsid w:val="006174EF"/>
    <w:rsid w:val="00621C6C"/>
    <w:rsid w:val="00623933"/>
    <w:rsid w:val="00624298"/>
    <w:rsid w:val="006243CE"/>
    <w:rsid w:val="00624BA0"/>
    <w:rsid w:val="00626C2E"/>
    <w:rsid w:val="00627D91"/>
    <w:rsid w:val="00644A4D"/>
    <w:rsid w:val="00645E8B"/>
    <w:rsid w:val="00646C02"/>
    <w:rsid w:val="00646D8A"/>
    <w:rsid w:val="00651DAB"/>
    <w:rsid w:val="0066444D"/>
    <w:rsid w:val="0066538D"/>
    <w:rsid w:val="00671B7F"/>
    <w:rsid w:val="006760AF"/>
    <w:rsid w:val="00682A04"/>
    <w:rsid w:val="006835F8"/>
    <w:rsid w:val="0068710E"/>
    <w:rsid w:val="00687A91"/>
    <w:rsid w:val="00691BC3"/>
    <w:rsid w:val="006A0674"/>
    <w:rsid w:val="006A1A56"/>
    <w:rsid w:val="006A5F9D"/>
    <w:rsid w:val="006B18A1"/>
    <w:rsid w:val="006B6EAE"/>
    <w:rsid w:val="006B7806"/>
    <w:rsid w:val="006C0956"/>
    <w:rsid w:val="006D15E1"/>
    <w:rsid w:val="006D2F55"/>
    <w:rsid w:val="006D3404"/>
    <w:rsid w:val="006D4B97"/>
    <w:rsid w:val="006D7850"/>
    <w:rsid w:val="006E03F4"/>
    <w:rsid w:val="006E0B2F"/>
    <w:rsid w:val="006E15EF"/>
    <w:rsid w:val="006E1F10"/>
    <w:rsid w:val="006E2561"/>
    <w:rsid w:val="006E2F1D"/>
    <w:rsid w:val="006E33B6"/>
    <w:rsid w:val="006E3FBB"/>
    <w:rsid w:val="006E61E4"/>
    <w:rsid w:val="006F0A76"/>
    <w:rsid w:val="006F63AA"/>
    <w:rsid w:val="00701891"/>
    <w:rsid w:val="00702331"/>
    <w:rsid w:val="00704730"/>
    <w:rsid w:val="00710274"/>
    <w:rsid w:val="00710355"/>
    <w:rsid w:val="007118FD"/>
    <w:rsid w:val="00716042"/>
    <w:rsid w:val="00721EEA"/>
    <w:rsid w:val="00723082"/>
    <w:rsid w:val="00723129"/>
    <w:rsid w:val="007314CE"/>
    <w:rsid w:val="00732079"/>
    <w:rsid w:val="00732E0F"/>
    <w:rsid w:val="0073640E"/>
    <w:rsid w:val="00737BF6"/>
    <w:rsid w:val="007415F1"/>
    <w:rsid w:val="00742439"/>
    <w:rsid w:val="00742C77"/>
    <w:rsid w:val="00743A19"/>
    <w:rsid w:val="00744A5E"/>
    <w:rsid w:val="00745075"/>
    <w:rsid w:val="00751E3F"/>
    <w:rsid w:val="00753777"/>
    <w:rsid w:val="00754917"/>
    <w:rsid w:val="0076044A"/>
    <w:rsid w:val="00762FBE"/>
    <w:rsid w:val="0076360B"/>
    <w:rsid w:val="0076648D"/>
    <w:rsid w:val="00767DA9"/>
    <w:rsid w:val="00773272"/>
    <w:rsid w:val="007802DD"/>
    <w:rsid w:val="007838CD"/>
    <w:rsid w:val="00783CB9"/>
    <w:rsid w:val="00791F5F"/>
    <w:rsid w:val="00792125"/>
    <w:rsid w:val="00794BB1"/>
    <w:rsid w:val="00796A64"/>
    <w:rsid w:val="007975D7"/>
    <w:rsid w:val="00797C8A"/>
    <w:rsid w:val="007A0750"/>
    <w:rsid w:val="007A48AD"/>
    <w:rsid w:val="007A4BA0"/>
    <w:rsid w:val="007A572A"/>
    <w:rsid w:val="007A5F60"/>
    <w:rsid w:val="007B1023"/>
    <w:rsid w:val="007B2744"/>
    <w:rsid w:val="007B5BB3"/>
    <w:rsid w:val="007B7182"/>
    <w:rsid w:val="007C3432"/>
    <w:rsid w:val="007C3F62"/>
    <w:rsid w:val="007D52F5"/>
    <w:rsid w:val="007D5D3A"/>
    <w:rsid w:val="007E23D5"/>
    <w:rsid w:val="007E446C"/>
    <w:rsid w:val="007E59A6"/>
    <w:rsid w:val="007F27EC"/>
    <w:rsid w:val="007F7697"/>
    <w:rsid w:val="008002E5"/>
    <w:rsid w:val="00800C99"/>
    <w:rsid w:val="00802518"/>
    <w:rsid w:val="00803012"/>
    <w:rsid w:val="00803459"/>
    <w:rsid w:val="008038AD"/>
    <w:rsid w:val="008051A3"/>
    <w:rsid w:val="00806342"/>
    <w:rsid w:val="00811EF4"/>
    <w:rsid w:val="00830ADE"/>
    <w:rsid w:val="008326B0"/>
    <w:rsid w:val="00834077"/>
    <w:rsid w:val="0083459C"/>
    <w:rsid w:val="0084012C"/>
    <w:rsid w:val="00841D3F"/>
    <w:rsid w:val="00842DDB"/>
    <w:rsid w:val="008442A7"/>
    <w:rsid w:val="00860B57"/>
    <w:rsid w:val="00863911"/>
    <w:rsid w:val="008704AE"/>
    <w:rsid w:val="008706A7"/>
    <w:rsid w:val="00870A2C"/>
    <w:rsid w:val="0089051B"/>
    <w:rsid w:val="00890F35"/>
    <w:rsid w:val="0089123D"/>
    <w:rsid w:val="00892C8A"/>
    <w:rsid w:val="00895F91"/>
    <w:rsid w:val="008A4AA1"/>
    <w:rsid w:val="008B3D14"/>
    <w:rsid w:val="008B3FF6"/>
    <w:rsid w:val="008C024D"/>
    <w:rsid w:val="008D063B"/>
    <w:rsid w:val="008D37F0"/>
    <w:rsid w:val="008D3AF2"/>
    <w:rsid w:val="008E1C12"/>
    <w:rsid w:val="008E1F4A"/>
    <w:rsid w:val="008E3E33"/>
    <w:rsid w:val="008F57BA"/>
    <w:rsid w:val="009053D4"/>
    <w:rsid w:val="00906B31"/>
    <w:rsid w:val="009114AF"/>
    <w:rsid w:val="00920334"/>
    <w:rsid w:val="009219D1"/>
    <w:rsid w:val="0092324F"/>
    <w:rsid w:val="00925789"/>
    <w:rsid w:val="009257F9"/>
    <w:rsid w:val="00926E12"/>
    <w:rsid w:val="00934426"/>
    <w:rsid w:val="00937CD8"/>
    <w:rsid w:val="009415B3"/>
    <w:rsid w:val="009423C1"/>
    <w:rsid w:val="009428BA"/>
    <w:rsid w:val="00943D67"/>
    <w:rsid w:val="009447DA"/>
    <w:rsid w:val="00954FA3"/>
    <w:rsid w:val="0095731E"/>
    <w:rsid w:val="00963BD7"/>
    <w:rsid w:val="00964433"/>
    <w:rsid w:val="009723B1"/>
    <w:rsid w:val="00973A46"/>
    <w:rsid w:val="009756DD"/>
    <w:rsid w:val="009773EE"/>
    <w:rsid w:val="00980085"/>
    <w:rsid w:val="00983697"/>
    <w:rsid w:val="00983EFB"/>
    <w:rsid w:val="009855E7"/>
    <w:rsid w:val="00985995"/>
    <w:rsid w:val="00995C67"/>
    <w:rsid w:val="0099690B"/>
    <w:rsid w:val="009972AA"/>
    <w:rsid w:val="009A4887"/>
    <w:rsid w:val="009A6004"/>
    <w:rsid w:val="009B46AE"/>
    <w:rsid w:val="009B67D4"/>
    <w:rsid w:val="009D2A07"/>
    <w:rsid w:val="009D2DB3"/>
    <w:rsid w:val="009D57A6"/>
    <w:rsid w:val="009D5C8D"/>
    <w:rsid w:val="009E21DF"/>
    <w:rsid w:val="009E4A77"/>
    <w:rsid w:val="009E68ED"/>
    <w:rsid w:val="009E7BEF"/>
    <w:rsid w:val="009F2C70"/>
    <w:rsid w:val="009F7A69"/>
    <w:rsid w:val="00A13865"/>
    <w:rsid w:val="00A14785"/>
    <w:rsid w:val="00A16A45"/>
    <w:rsid w:val="00A23002"/>
    <w:rsid w:val="00A23697"/>
    <w:rsid w:val="00A2627F"/>
    <w:rsid w:val="00A271A6"/>
    <w:rsid w:val="00A3075D"/>
    <w:rsid w:val="00A314E6"/>
    <w:rsid w:val="00A34D23"/>
    <w:rsid w:val="00A3662D"/>
    <w:rsid w:val="00A3731B"/>
    <w:rsid w:val="00A42463"/>
    <w:rsid w:val="00A5563A"/>
    <w:rsid w:val="00A60AA1"/>
    <w:rsid w:val="00A62A7C"/>
    <w:rsid w:val="00A66278"/>
    <w:rsid w:val="00A66A79"/>
    <w:rsid w:val="00A77759"/>
    <w:rsid w:val="00A77B49"/>
    <w:rsid w:val="00A80229"/>
    <w:rsid w:val="00A80236"/>
    <w:rsid w:val="00A83175"/>
    <w:rsid w:val="00A85E51"/>
    <w:rsid w:val="00A9083E"/>
    <w:rsid w:val="00AA31BB"/>
    <w:rsid w:val="00AA4066"/>
    <w:rsid w:val="00AA60BF"/>
    <w:rsid w:val="00AA682E"/>
    <w:rsid w:val="00AA6B6C"/>
    <w:rsid w:val="00AA7569"/>
    <w:rsid w:val="00AB0381"/>
    <w:rsid w:val="00AC3805"/>
    <w:rsid w:val="00AC6CFF"/>
    <w:rsid w:val="00AD729D"/>
    <w:rsid w:val="00AF1BCB"/>
    <w:rsid w:val="00AF1D79"/>
    <w:rsid w:val="00AF28D2"/>
    <w:rsid w:val="00AF44F5"/>
    <w:rsid w:val="00B07083"/>
    <w:rsid w:val="00B15A57"/>
    <w:rsid w:val="00B22EFC"/>
    <w:rsid w:val="00B24EA8"/>
    <w:rsid w:val="00B25D38"/>
    <w:rsid w:val="00B27FBE"/>
    <w:rsid w:val="00B31D94"/>
    <w:rsid w:val="00B54D56"/>
    <w:rsid w:val="00B55DD2"/>
    <w:rsid w:val="00B63C0A"/>
    <w:rsid w:val="00B66C56"/>
    <w:rsid w:val="00B80BBB"/>
    <w:rsid w:val="00B863C9"/>
    <w:rsid w:val="00B87FB3"/>
    <w:rsid w:val="00B9437F"/>
    <w:rsid w:val="00BA3BCD"/>
    <w:rsid w:val="00BA658A"/>
    <w:rsid w:val="00BB2321"/>
    <w:rsid w:val="00BB3A8A"/>
    <w:rsid w:val="00BB4F59"/>
    <w:rsid w:val="00BB5D8F"/>
    <w:rsid w:val="00BB6C89"/>
    <w:rsid w:val="00BC3D1E"/>
    <w:rsid w:val="00BC4093"/>
    <w:rsid w:val="00BC4C2D"/>
    <w:rsid w:val="00BC5499"/>
    <w:rsid w:val="00BC6AAF"/>
    <w:rsid w:val="00BD2B9F"/>
    <w:rsid w:val="00BD7780"/>
    <w:rsid w:val="00BE2757"/>
    <w:rsid w:val="00BE3607"/>
    <w:rsid w:val="00BF0BE2"/>
    <w:rsid w:val="00BF20EA"/>
    <w:rsid w:val="00BF64CA"/>
    <w:rsid w:val="00C01325"/>
    <w:rsid w:val="00C053FF"/>
    <w:rsid w:val="00C06543"/>
    <w:rsid w:val="00C2112F"/>
    <w:rsid w:val="00C25317"/>
    <w:rsid w:val="00C27A13"/>
    <w:rsid w:val="00C300E9"/>
    <w:rsid w:val="00C424B9"/>
    <w:rsid w:val="00C44562"/>
    <w:rsid w:val="00C53477"/>
    <w:rsid w:val="00C53EB6"/>
    <w:rsid w:val="00C62BE1"/>
    <w:rsid w:val="00C6687F"/>
    <w:rsid w:val="00C7123D"/>
    <w:rsid w:val="00C71AA0"/>
    <w:rsid w:val="00C72200"/>
    <w:rsid w:val="00C74705"/>
    <w:rsid w:val="00C83200"/>
    <w:rsid w:val="00C84839"/>
    <w:rsid w:val="00C84E76"/>
    <w:rsid w:val="00C861AF"/>
    <w:rsid w:val="00CA13EA"/>
    <w:rsid w:val="00CA3B05"/>
    <w:rsid w:val="00CA7E58"/>
    <w:rsid w:val="00CB0504"/>
    <w:rsid w:val="00CB2029"/>
    <w:rsid w:val="00CB4ADC"/>
    <w:rsid w:val="00CC13F6"/>
    <w:rsid w:val="00CC1D95"/>
    <w:rsid w:val="00CC214D"/>
    <w:rsid w:val="00CC2391"/>
    <w:rsid w:val="00CC6A12"/>
    <w:rsid w:val="00CD61E5"/>
    <w:rsid w:val="00CE2370"/>
    <w:rsid w:val="00CE5502"/>
    <w:rsid w:val="00CF1D9A"/>
    <w:rsid w:val="00CF607F"/>
    <w:rsid w:val="00CF6267"/>
    <w:rsid w:val="00CF648E"/>
    <w:rsid w:val="00D07286"/>
    <w:rsid w:val="00D15617"/>
    <w:rsid w:val="00D21E1A"/>
    <w:rsid w:val="00D21F4E"/>
    <w:rsid w:val="00D22BB0"/>
    <w:rsid w:val="00D3133A"/>
    <w:rsid w:val="00D3572B"/>
    <w:rsid w:val="00D375D8"/>
    <w:rsid w:val="00D44961"/>
    <w:rsid w:val="00D461A5"/>
    <w:rsid w:val="00D464D5"/>
    <w:rsid w:val="00D47520"/>
    <w:rsid w:val="00D53FDE"/>
    <w:rsid w:val="00D5540F"/>
    <w:rsid w:val="00D56C6B"/>
    <w:rsid w:val="00D6169B"/>
    <w:rsid w:val="00D61B9E"/>
    <w:rsid w:val="00D63C1B"/>
    <w:rsid w:val="00D64593"/>
    <w:rsid w:val="00D71E68"/>
    <w:rsid w:val="00D77B5E"/>
    <w:rsid w:val="00D8120B"/>
    <w:rsid w:val="00D81EE6"/>
    <w:rsid w:val="00DB612F"/>
    <w:rsid w:val="00DB79EE"/>
    <w:rsid w:val="00DC7C34"/>
    <w:rsid w:val="00DD2DD5"/>
    <w:rsid w:val="00DE39AE"/>
    <w:rsid w:val="00DF3285"/>
    <w:rsid w:val="00DF583B"/>
    <w:rsid w:val="00E00B6E"/>
    <w:rsid w:val="00E11EEF"/>
    <w:rsid w:val="00E20FC4"/>
    <w:rsid w:val="00E25A4D"/>
    <w:rsid w:val="00E276C2"/>
    <w:rsid w:val="00E31C05"/>
    <w:rsid w:val="00E32045"/>
    <w:rsid w:val="00E32AC1"/>
    <w:rsid w:val="00E34E52"/>
    <w:rsid w:val="00E42C67"/>
    <w:rsid w:val="00E453DD"/>
    <w:rsid w:val="00E45BF9"/>
    <w:rsid w:val="00E45D2D"/>
    <w:rsid w:val="00E52389"/>
    <w:rsid w:val="00E53857"/>
    <w:rsid w:val="00E579F5"/>
    <w:rsid w:val="00E6607F"/>
    <w:rsid w:val="00E66C0B"/>
    <w:rsid w:val="00E72CA6"/>
    <w:rsid w:val="00E7496B"/>
    <w:rsid w:val="00E7597C"/>
    <w:rsid w:val="00E86E53"/>
    <w:rsid w:val="00EA3E0C"/>
    <w:rsid w:val="00EA69E3"/>
    <w:rsid w:val="00EA6C3A"/>
    <w:rsid w:val="00EA71EF"/>
    <w:rsid w:val="00EC10B0"/>
    <w:rsid w:val="00EC6720"/>
    <w:rsid w:val="00ED0B7D"/>
    <w:rsid w:val="00ED22AA"/>
    <w:rsid w:val="00ED546A"/>
    <w:rsid w:val="00EE3459"/>
    <w:rsid w:val="00EE4577"/>
    <w:rsid w:val="00EF1C38"/>
    <w:rsid w:val="00EF29A1"/>
    <w:rsid w:val="00EF38E8"/>
    <w:rsid w:val="00EF4989"/>
    <w:rsid w:val="00EF66DA"/>
    <w:rsid w:val="00F011F4"/>
    <w:rsid w:val="00F017F2"/>
    <w:rsid w:val="00F175D2"/>
    <w:rsid w:val="00F179BA"/>
    <w:rsid w:val="00F3182F"/>
    <w:rsid w:val="00F34388"/>
    <w:rsid w:val="00F40028"/>
    <w:rsid w:val="00F40CD1"/>
    <w:rsid w:val="00F43042"/>
    <w:rsid w:val="00F4449A"/>
    <w:rsid w:val="00F444AF"/>
    <w:rsid w:val="00F47715"/>
    <w:rsid w:val="00F5123C"/>
    <w:rsid w:val="00F515F4"/>
    <w:rsid w:val="00F55974"/>
    <w:rsid w:val="00F570B0"/>
    <w:rsid w:val="00F743B3"/>
    <w:rsid w:val="00F749F5"/>
    <w:rsid w:val="00F74F33"/>
    <w:rsid w:val="00F76B47"/>
    <w:rsid w:val="00F829B4"/>
    <w:rsid w:val="00F85744"/>
    <w:rsid w:val="00F85FA7"/>
    <w:rsid w:val="00F92C73"/>
    <w:rsid w:val="00F93606"/>
    <w:rsid w:val="00F9749D"/>
    <w:rsid w:val="00F97982"/>
    <w:rsid w:val="00FA2216"/>
    <w:rsid w:val="00FA22DD"/>
    <w:rsid w:val="00FA492B"/>
    <w:rsid w:val="00FB5286"/>
    <w:rsid w:val="00FC532F"/>
    <w:rsid w:val="00FC72E2"/>
    <w:rsid w:val="00FD097B"/>
    <w:rsid w:val="00FD423A"/>
    <w:rsid w:val="00FD535B"/>
    <w:rsid w:val="00FD655E"/>
    <w:rsid w:val="00FE338B"/>
    <w:rsid w:val="00FE53F5"/>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F2440"/>
  <w15:docId w15:val="{48AB9844-BD49-466A-BBB9-86B00660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43"/>
    <w:rPr>
      <w:rFonts w:ascii="Tahoma" w:hAnsi="Tahoma" w:cs="Tahoma"/>
      <w:sz w:val="16"/>
      <w:szCs w:val="16"/>
    </w:rPr>
  </w:style>
  <w:style w:type="paragraph" w:styleId="Header">
    <w:name w:val="header"/>
    <w:basedOn w:val="Normal"/>
    <w:link w:val="HeaderChar"/>
    <w:uiPriority w:val="99"/>
    <w:unhideWhenUsed/>
    <w:rsid w:val="00A1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65"/>
  </w:style>
  <w:style w:type="paragraph" w:styleId="Footer">
    <w:name w:val="footer"/>
    <w:basedOn w:val="Normal"/>
    <w:link w:val="FooterChar"/>
    <w:uiPriority w:val="99"/>
    <w:unhideWhenUsed/>
    <w:rsid w:val="00A1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65"/>
  </w:style>
  <w:style w:type="paragraph" w:styleId="List">
    <w:name w:val="List"/>
    <w:basedOn w:val="Normal"/>
    <w:rsid w:val="00CE2370"/>
    <w:pPr>
      <w:spacing w:after="0" w:line="240" w:lineRule="auto"/>
      <w:ind w:left="360" w:hanging="360"/>
    </w:pPr>
    <w:rPr>
      <w:rFonts w:ascii="Times New Roman" w:eastAsia="MS Mincho" w:hAnsi="Times New Roman" w:cs="Times New Roman"/>
      <w:sz w:val="24"/>
      <w:szCs w:val="24"/>
      <w:lang w:eastAsia="ja-JP"/>
    </w:rPr>
  </w:style>
  <w:style w:type="table" w:styleId="LightList-Accent5">
    <w:name w:val="Light List Accent 5"/>
    <w:basedOn w:val="TableNormal"/>
    <w:uiPriority w:val="61"/>
    <w:rsid w:val="00943D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E23D5"/>
    <w:pPr>
      <w:ind w:left="720"/>
      <w:contextualSpacing/>
    </w:pPr>
  </w:style>
  <w:style w:type="character" w:styleId="CommentReference">
    <w:name w:val="annotation reference"/>
    <w:basedOn w:val="DefaultParagraphFont"/>
    <w:uiPriority w:val="99"/>
    <w:semiHidden/>
    <w:unhideWhenUsed/>
    <w:rsid w:val="00AF1D79"/>
    <w:rPr>
      <w:sz w:val="16"/>
      <w:szCs w:val="16"/>
    </w:rPr>
  </w:style>
  <w:style w:type="paragraph" w:styleId="CommentText">
    <w:name w:val="annotation text"/>
    <w:basedOn w:val="Normal"/>
    <w:link w:val="CommentTextChar"/>
    <w:uiPriority w:val="99"/>
    <w:semiHidden/>
    <w:unhideWhenUsed/>
    <w:rsid w:val="00AF1D79"/>
    <w:pPr>
      <w:spacing w:line="240" w:lineRule="auto"/>
    </w:pPr>
    <w:rPr>
      <w:sz w:val="20"/>
      <w:szCs w:val="20"/>
    </w:rPr>
  </w:style>
  <w:style w:type="character" w:customStyle="1" w:styleId="CommentTextChar">
    <w:name w:val="Comment Text Char"/>
    <w:basedOn w:val="DefaultParagraphFont"/>
    <w:link w:val="CommentText"/>
    <w:uiPriority w:val="99"/>
    <w:semiHidden/>
    <w:rsid w:val="00AF1D79"/>
    <w:rPr>
      <w:sz w:val="20"/>
      <w:szCs w:val="20"/>
    </w:rPr>
  </w:style>
  <w:style w:type="paragraph" w:styleId="CommentSubject">
    <w:name w:val="annotation subject"/>
    <w:basedOn w:val="CommentText"/>
    <w:next w:val="CommentText"/>
    <w:link w:val="CommentSubjectChar"/>
    <w:uiPriority w:val="99"/>
    <w:semiHidden/>
    <w:unhideWhenUsed/>
    <w:rsid w:val="00AF1D79"/>
    <w:rPr>
      <w:b/>
      <w:bCs/>
    </w:rPr>
  </w:style>
  <w:style w:type="character" w:customStyle="1" w:styleId="CommentSubjectChar">
    <w:name w:val="Comment Subject Char"/>
    <w:basedOn w:val="CommentTextChar"/>
    <w:link w:val="CommentSubject"/>
    <w:uiPriority w:val="99"/>
    <w:semiHidden/>
    <w:rsid w:val="00AF1D79"/>
    <w:rPr>
      <w:b/>
      <w:bCs/>
      <w:sz w:val="20"/>
      <w:szCs w:val="20"/>
    </w:rPr>
  </w:style>
  <w:style w:type="character" w:styleId="Hyperlink">
    <w:name w:val="Hyperlink"/>
    <w:basedOn w:val="DefaultParagraphFont"/>
    <w:uiPriority w:val="99"/>
    <w:unhideWhenUsed/>
    <w:rsid w:val="005D2453"/>
    <w:rPr>
      <w:color w:val="0000FF" w:themeColor="hyperlink"/>
      <w:u w:val="single"/>
    </w:rPr>
  </w:style>
  <w:style w:type="paragraph" w:styleId="FootnoteText">
    <w:name w:val="footnote text"/>
    <w:basedOn w:val="Normal"/>
    <w:link w:val="FootnoteTextChar"/>
    <w:uiPriority w:val="99"/>
    <w:semiHidden/>
    <w:unhideWhenUsed/>
    <w:rsid w:val="00B86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3C9"/>
    <w:rPr>
      <w:sz w:val="20"/>
      <w:szCs w:val="20"/>
    </w:rPr>
  </w:style>
  <w:style w:type="character" w:styleId="FootnoteReference">
    <w:name w:val="footnote reference"/>
    <w:basedOn w:val="DefaultParagraphFont"/>
    <w:uiPriority w:val="99"/>
    <w:semiHidden/>
    <w:unhideWhenUsed/>
    <w:rsid w:val="00B86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460">
      <w:bodyDiv w:val="1"/>
      <w:marLeft w:val="0"/>
      <w:marRight w:val="0"/>
      <w:marTop w:val="0"/>
      <w:marBottom w:val="0"/>
      <w:divBdr>
        <w:top w:val="none" w:sz="0" w:space="0" w:color="auto"/>
        <w:left w:val="none" w:sz="0" w:space="0" w:color="auto"/>
        <w:bottom w:val="none" w:sz="0" w:space="0" w:color="auto"/>
        <w:right w:val="none" w:sz="0" w:space="0" w:color="auto"/>
      </w:divBdr>
    </w:div>
    <w:div w:id="225993348">
      <w:bodyDiv w:val="1"/>
      <w:marLeft w:val="0"/>
      <w:marRight w:val="0"/>
      <w:marTop w:val="0"/>
      <w:marBottom w:val="0"/>
      <w:divBdr>
        <w:top w:val="none" w:sz="0" w:space="0" w:color="auto"/>
        <w:left w:val="none" w:sz="0" w:space="0" w:color="auto"/>
        <w:bottom w:val="none" w:sz="0" w:space="0" w:color="auto"/>
        <w:right w:val="none" w:sz="0" w:space="0" w:color="auto"/>
      </w:divBdr>
    </w:div>
    <w:div w:id="249850574">
      <w:bodyDiv w:val="1"/>
      <w:marLeft w:val="0"/>
      <w:marRight w:val="0"/>
      <w:marTop w:val="0"/>
      <w:marBottom w:val="0"/>
      <w:divBdr>
        <w:top w:val="none" w:sz="0" w:space="0" w:color="auto"/>
        <w:left w:val="none" w:sz="0" w:space="0" w:color="auto"/>
        <w:bottom w:val="none" w:sz="0" w:space="0" w:color="auto"/>
        <w:right w:val="none" w:sz="0" w:space="0" w:color="auto"/>
      </w:divBdr>
    </w:div>
    <w:div w:id="350300803">
      <w:bodyDiv w:val="1"/>
      <w:marLeft w:val="0"/>
      <w:marRight w:val="0"/>
      <w:marTop w:val="0"/>
      <w:marBottom w:val="0"/>
      <w:divBdr>
        <w:top w:val="none" w:sz="0" w:space="0" w:color="auto"/>
        <w:left w:val="none" w:sz="0" w:space="0" w:color="auto"/>
        <w:bottom w:val="none" w:sz="0" w:space="0" w:color="auto"/>
        <w:right w:val="none" w:sz="0" w:space="0" w:color="auto"/>
      </w:divBdr>
    </w:div>
    <w:div w:id="491721004">
      <w:bodyDiv w:val="1"/>
      <w:marLeft w:val="0"/>
      <w:marRight w:val="0"/>
      <w:marTop w:val="0"/>
      <w:marBottom w:val="0"/>
      <w:divBdr>
        <w:top w:val="none" w:sz="0" w:space="0" w:color="auto"/>
        <w:left w:val="none" w:sz="0" w:space="0" w:color="auto"/>
        <w:bottom w:val="none" w:sz="0" w:space="0" w:color="auto"/>
        <w:right w:val="none" w:sz="0" w:space="0" w:color="auto"/>
      </w:divBdr>
    </w:div>
    <w:div w:id="537665667">
      <w:bodyDiv w:val="1"/>
      <w:marLeft w:val="0"/>
      <w:marRight w:val="0"/>
      <w:marTop w:val="0"/>
      <w:marBottom w:val="0"/>
      <w:divBdr>
        <w:top w:val="none" w:sz="0" w:space="0" w:color="auto"/>
        <w:left w:val="none" w:sz="0" w:space="0" w:color="auto"/>
        <w:bottom w:val="none" w:sz="0" w:space="0" w:color="auto"/>
        <w:right w:val="none" w:sz="0" w:space="0" w:color="auto"/>
      </w:divBdr>
    </w:div>
    <w:div w:id="585500446">
      <w:bodyDiv w:val="1"/>
      <w:marLeft w:val="0"/>
      <w:marRight w:val="0"/>
      <w:marTop w:val="0"/>
      <w:marBottom w:val="0"/>
      <w:divBdr>
        <w:top w:val="none" w:sz="0" w:space="0" w:color="auto"/>
        <w:left w:val="none" w:sz="0" w:space="0" w:color="auto"/>
        <w:bottom w:val="none" w:sz="0" w:space="0" w:color="auto"/>
        <w:right w:val="none" w:sz="0" w:space="0" w:color="auto"/>
      </w:divBdr>
    </w:div>
    <w:div w:id="681778359">
      <w:bodyDiv w:val="1"/>
      <w:marLeft w:val="0"/>
      <w:marRight w:val="0"/>
      <w:marTop w:val="0"/>
      <w:marBottom w:val="0"/>
      <w:divBdr>
        <w:top w:val="none" w:sz="0" w:space="0" w:color="auto"/>
        <w:left w:val="none" w:sz="0" w:space="0" w:color="auto"/>
        <w:bottom w:val="none" w:sz="0" w:space="0" w:color="auto"/>
        <w:right w:val="none" w:sz="0" w:space="0" w:color="auto"/>
      </w:divBdr>
    </w:div>
    <w:div w:id="715475306">
      <w:bodyDiv w:val="1"/>
      <w:marLeft w:val="0"/>
      <w:marRight w:val="0"/>
      <w:marTop w:val="0"/>
      <w:marBottom w:val="0"/>
      <w:divBdr>
        <w:top w:val="none" w:sz="0" w:space="0" w:color="auto"/>
        <w:left w:val="none" w:sz="0" w:space="0" w:color="auto"/>
        <w:bottom w:val="none" w:sz="0" w:space="0" w:color="auto"/>
        <w:right w:val="none" w:sz="0" w:space="0" w:color="auto"/>
      </w:divBdr>
    </w:div>
    <w:div w:id="721487799">
      <w:bodyDiv w:val="1"/>
      <w:marLeft w:val="0"/>
      <w:marRight w:val="0"/>
      <w:marTop w:val="0"/>
      <w:marBottom w:val="0"/>
      <w:divBdr>
        <w:top w:val="none" w:sz="0" w:space="0" w:color="auto"/>
        <w:left w:val="none" w:sz="0" w:space="0" w:color="auto"/>
        <w:bottom w:val="none" w:sz="0" w:space="0" w:color="auto"/>
        <w:right w:val="none" w:sz="0" w:space="0" w:color="auto"/>
      </w:divBdr>
    </w:div>
    <w:div w:id="759645589">
      <w:bodyDiv w:val="1"/>
      <w:marLeft w:val="0"/>
      <w:marRight w:val="0"/>
      <w:marTop w:val="0"/>
      <w:marBottom w:val="0"/>
      <w:divBdr>
        <w:top w:val="none" w:sz="0" w:space="0" w:color="auto"/>
        <w:left w:val="none" w:sz="0" w:space="0" w:color="auto"/>
        <w:bottom w:val="none" w:sz="0" w:space="0" w:color="auto"/>
        <w:right w:val="none" w:sz="0" w:space="0" w:color="auto"/>
      </w:divBdr>
    </w:div>
    <w:div w:id="844243799">
      <w:bodyDiv w:val="1"/>
      <w:marLeft w:val="0"/>
      <w:marRight w:val="0"/>
      <w:marTop w:val="0"/>
      <w:marBottom w:val="0"/>
      <w:divBdr>
        <w:top w:val="none" w:sz="0" w:space="0" w:color="auto"/>
        <w:left w:val="none" w:sz="0" w:space="0" w:color="auto"/>
        <w:bottom w:val="none" w:sz="0" w:space="0" w:color="auto"/>
        <w:right w:val="none" w:sz="0" w:space="0" w:color="auto"/>
      </w:divBdr>
    </w:div>
    <w:div w:id="922648467">
      <w:bodyDiv w:val="1"/>
      <w:marLeft w:val="0"/>
      <w:marRight w:val="0"/>
      <w:marTop w:val="0"/>
      <w:marBottom w:val="0"/>
      <w:divBdr>
        <w:top w:val="none" w:sz="0" w:space="0" w:color="auto"/>
        <w:left w:val="none" w:sz="0" w:space="0" w:color="auto"/>
        <w:bottom w:val="none" w:sz="0" w:space="0" w:color="auto"/>
        <w:right w:val="none" w:sz="0" w:space="0" w:color="auto"/>
      </w:divBdr>
    </w:div>
    <w:div w:id="947587664">
      <w:bodyDiv w:val="1"/>
      <w:marLeft w:val="0"/>
      <w:marRight w:val="0"/>
      <w:marTop w:val="0"/>
      <w:marBottom w:val="0"/>
      <w:divBdr>
        <w:top w:val="none" w:sz="0" w:space="0" w:color="auto"/>
        <w:left w:val="none" w:sz="0" w:space="0" w:color="auto"/>
        <w:bottom w:val="none" w:sz="0" w:space="0" w:color="auto"/>
        <w:right w:val="none" w:sz="0" w:space="0" w:color="auto"/>
      </w:divBdr>
    </w:div>
    <w:div w:id="1018042640">
      <w:bodyDiv w:val="1"/>
      <w:marLeft w:val="0"/>
      <w:marRight w:val="0"/>
      <w:marTop w:val="0"/>
      <w:marBottom w:val="0"/>
      <w:divBdr>
        <w:top w:val="none" w:sz="0" w:space="0" w:color="auto"/>
        <w:left w:val="none" w:sz="0" w:space="0" w:color="auto"/>
        <w:bottom w:val="none" w:sz="0" w:space="0" w:color="auto"/>
        <w:right w:val="none" w:sz="0" w:space="0" w:color="auto"/>
      </w:divBdr>
    </w:div>
    <w:div w:id="1101417597">
      <w:bodyDiv w:val="1"/>
      <w:marLeft w:val="0"/>
      <w:marRight w:val="0"/>
      <w:marTop w:val="0"/>
      <w:marBottom w:val="0"/>
      <w:divBdr>
        <w:top w:val="none" w:sz="0" w:space="0" w:color="auto"/>
        <w:left w:val="none" w:sz="0" w:space="0" w:color="auto"/>
        <w:bottom w:val="none" w:sz="0" w:space="0" w:color="auto"/>
        <w:right w:val="none" w:sz="0" w:space="0" w:color="auto"/>
      </w:divBdr>
    </w:div>
    <w:div w:id="1128015815">
      <w:bodyDiv w:val="1"/>
      <w:marLeft w:val="0"/>
      <w:marRight w:val="0"/>
      <w:marTop w:val="0"/>
      <w:marBottom w:val="0"/>
      <w:divBdr>
        <w:top w:val="none" w:sz="0" w:space="0" w:color="auto"/>
        <w:left w:val="none" w:sz="0" w:space="0" w:color="auto"/>
        <w:bottom w:val="none" w:sz="0" w:space="0" w:color="auto"/>
        <w:right w:val="none" w:sz="0" w:space="0" w:color="auto"/>
      </w:divBdr>
    </w:div>
    <w:div w:id="1157065352">
      <w:bodyDiv w:val="1"/>
      <w:marLeft w:val="0"/>
      <w:marRight w:val="0"/>
      <w:marTop w:val="0"/>
      <w:marBottom w:val="0"/>
      <w:divBdr>
        <w:top w:val="none" w:sz="0" w:space="0" w:color="auto"/>
        <w:left w:val="none" w:sz="0" w:space="0" w:color="auto"/>
        <w:bottom w:val="none" w:sz="0" w:space="0" w:color="auto"/>
        <w:right w:val="none" w:sz="0" w:space="0" w:color="auto"/>
      </w:divBdr>
    </w:div>
    <w:div w:id="1171487553">
      <w:bodyDiv w:val="1"/>
      <w:marLeft w:val="0"/>
      <w:marRight w:val="0"/>
      <w:marTop w:val="0"/>
      <w:marBottom w:val="0"/>
      <w:divBdr>
        <w:top w:val="none" w:sz="0" w:space="0" w:color="auto"/>
        <w:left w:val="none" w:sz="0" w:space="0" w:color="auto"/>
        <w:bottom w:val="none" w:sz="0" w:space="0" w:color="auto"/>
        <w:right w:val="none" w:sz="0" w:space="0" w:color="auto"/>
      </w:divBdr>
    </w:div>
    <w:div w:id="1174568232">
      <w:bodyDiv w:val="1"/>
      <w:marLeft w:val="0"/>
      <w:marRight w:val="0"/>
      <w:marTop w:val="0"/>
      <w:marBottom w:val="0"/>
      <w:divBdr>
        <w:top w:val="none" w:sz="0" w:space="0" w:color="auto"/>
        <w:left w:val="none" w:sz="0" w:space="0" w:color="auto"/>
        <w:bottom w:val="none" w:sz="0" w:space="0" w:color="auto"/>
        <w:right w:val="none" w:sz="0" w:space="0" w:color="auto"/>
      </w:divBdr>
    </w:div>
    <w:div w:id="1310356249">
      <w:bodyDiv w:val="1"/>
      <w:marLeft w:val="0"/>
      <w:marRight w:val="0"/>
      <w:marTop w:val="0"/>
      <w:marBottom w:val="0"/>
      <w:divBdr>
        <w:top w:val="none" w:sz="0" w:space="0" w:color="auto"/>
        <w:left w:val="none" w:sz="0" w:space="0" w:color="auto"/>
        <w:bottom w:val="none" w:sz="0" w:space="0" w:color="auto"/>
        <w:right w:val="none" w:sz="0" w:space="0" w:color="auto"/>
      </w:divBdr>
    </w:div>
    <w:div w:id="1319576243">
      <w:bodyDiv w:val="1"/>
      <w:marLeft w:val="0"/>
      <w:marRight w:val="0"/>
      <w:marTop w:val="0"/>
      <w:marBottom w:val="0"/>
      <w:divBdr>
        <w:top w:val="none" w:sz="0" w:space="0" w:color="auto"/>
        <w:left w:val="none" w:sz="0" w:space="0" w:color="auto"/>
        <w:bottom w:val="none" w:sz="0" w:space="0" w:color="auto"/>
        <w:right w:val="none" w:sz="0" w:space="0" w:color="auto"/>
      </w:divBdr>
    </w:div>
    <w:div w:id="1320424951">
      <w:bodyDiv w:val="1"/>
      <w:marLeft w:val="0"/>
      <w:marRight w:val="0"/>
      <w:marTop w:val="0"/>
      <w:marBottom w:val="0"/>
      <w:divBdr>
        <w:top w:val="none" w:sz="0" w:space="0" w:color="auto"/>
        <w:left w:val="none" w:sz="0" w:space="0" w:color="auto"/>
        <w:bottom w:val="none" w:sz="0" w:space="0" w:color="auto"/>
        <w:right w:val="none" w:sz="0" w:space="0" w:color="auto"/>
      </w:divBdr>
    </w:div>
    <w:div w:id="1369918710">
      <w:bodyDiv w:val="1"/>
      <w:marLeft w:val="0"/>
      <w:marRight w:val="0"/>
      <w:marTop w:val="0"/>
      <w:marBottom w:val="0"/>
      <w:divBdr>
        <w:top w:val="none" w:sz="0" w:space="0" w:color="auto"/>
        <w:left w:val="none" w:sz="0" w:space="0" w:color="auto"/>
        <w:bottom w:val="none" w:sz="0" w:space="0" w:color="auto"/>
        <w:right w:val="none" w:sz="0" w:space="0" w:color="auto"/>
      </w:divBdr>
    </w:div>
    <w:div w:id="1396203562">
      <w:bodyDiv w:val="1"/>
      <w:marLeft w:val="0"/>
      <w:marRight w:val="0"/>
      <w:marTop w:val="0"/>
      <w:marBottom w:val="0"/>
      <w:divBdr>
        <w:top w:val="none" w:sz="0" w:space="0" w:color="auto"/>
        <w:left w:val="none" w:sz="0" w:space="0" w:color="auto"/>
        <w:bottom w:val="none" w:sz="0" w:space="0" w:color="auto"/>
        <w:right w:val="none" w:sz="0" w:space="0" w:color="auto"/>
      </w:divBdr>
    </w:div>
    <w:div w:id="1631008654">
      <w:bodyDiv w:val="1"/>
      <w:marLeft w:val="0"/>
      <w:marRight w:val="0"/>
      <w:marTop w:val="0"/>
      <w:marBottom w:val="0"/>
      <w:divBdr>
        <w:top w:val="none" w:sz="0" w:space="0" w:color="auto"/>
        <w:left w:val="none" w:sz="0" w:space="0" w:color="auto"/>
        <w:bottom w:val="none" w:sz="0" w:space="0" w:color="auto"/>
        <w:right w:val="none" w:sz="0" w:space="0" w:color="auto"/>
      </w:divBdr>
    </w:div>
    <w:div w:id="1838615566">
      <w:bodyDiv w:val="1"/>
      <w:marLeft w:val="0"/>
      <w:marRight w:val="0"/>
      <w:marTop w:val="0"/>
      <w:marBottom w:val="0"/>
      <w:divBdr>
        <w:top w:val="none" w:sz="0" w:space="0" w:color="auto"/>
        <w:left w:val="none" w:sz="0" w:space="0" w:color="auto"/>
        <w:bottom w:val="none" w:sz="0" w:space="0" w:color="auto"/>
        <w:right w:val="none" w:sz="0" w:space="0" w:color="auto"/>
      </w:divBdr>
    </w:div>
    <w:div w:id="1881354219">
      <w:bodyDiv w:val="1"/>
      <w:marLeft w:val="0"/>
      <w:marRight w:val="0"/>
      <w:marTop w:val="0"/>
      <w:marBottom w:val="0"/>
      <w:divBdr>
        <w:top w:val="none" w:sz="0" w:space="0" w:color="auto"/>
        <w:left w:val="none" w:sz="0" w:space="0" w:color="auto"/>
        <w:bottom w:val="none" w:sz="0" w:space="0" w:color="auto"/>
        <w:right w:val="none" w:sz="0" w:space="0" w:color="auto"/>
      </w:divBdr>
    </w:div>
    <w:div w:id="1897469930">
      <w:bodyDiv w:val="1"/>
      <w:marLeft w:val="0"/>
      <w:marRight w:val="0"/>
      <w:marTop w:val="0"/>
      <w:marBottom w:val="0"/>
      <w:divBdr>
        <w:top w:val="none" w:sz="0" w:space="0" w:color="auto"/>
        <w:left w:val="none" w:sz="0" w:space="0" w:color="auto"/>
        <w:bottom w:val="none" w:sz="0" w:space="0" w:color="auto"/>
        <w:right w:val="none" w:sz="0" w:space="0" w:color="auto"/>
      </w:divBdr>
    </w:div>
    <w:div w:id="1920094039">
      <w:bodyDiv w:val="1"/>
      <w:marLeft w:val="0"/>
      <w:marRight w:val="0"/>
      <w:marTop w:val="0"/>
      <w:marBottom w:val="0"/>
      <w:divBdr>
        <w:top w:val="none" w:sz="0" w:space="0" w:color="auto"/>
        <w:left w:val="none" w:sz="0" w:space="0" w:color="auto"/>
        <w:bottom w:val="none" w:sz="0" w:space="0" w:color="auto"/>
        <w:right w:val="none" w:sz="0" w:space="0" w:color="auto"/>
      </w:divBdr>
    </w:div>
    <w:div w:id="1945726588">
      <w:bodyDiv w:val="1"/>
      <w:marLeft w:val="0"/>
      <w:marRight w:val="0"/>
      <w:marTop w:val="0"/>
      <w:marBottom w:val="0"/>
      <w:divBdr>
        <w:top w:val="none" w:sz="0" w:space="0" w:color="auto"/>
        <w:left w:val="none" w:sz="0" w:space="0" w:color="auto"/>
        <w:bottom w:val="none" w:sz="0" w:space="0" w:color="auto"/>
        <w:right w:val="none" w:sz="0" w:space="0" w:color="auto"/>
      </w:divBdr>
    </w:div>
    <w:div w:id="1999189554">
      <w:bodyDiv w:val="1"/>
      <w:marLeft w:val="0"/>
      <w:marRight w:val="0"/>
      <w:marTop w:val="0"/>
      <w:marBottom w:val="0"/>
      <w:divBdr>
        <w:top w:val="none" w:sz="0" w:space="0" w:color="auto"/>
        <w:left w:val="none" w:sz="0" w:space="0" w:color="auto"/>
        <w:bottom w:val="none" w:sz="0" w:space="0" w:color="auto"/>
        <w:right w:val="none" w:sz="0" w:space="0" w:color="auto"/>
      </w:divBdr>
    </w:div>
    <w:div w:id="2010523969">
      <w:bodyDiv w:val="1"/>
      <w:marLeft w:val="0"/>
      <w:marRight w:val="0"/>
      <w:marTop w:val="0"/>
      <w:marBottom w:val="0"/>
      <w:divBdr>
        <w:top w:val="none" w:sz="0" w:space="0" w:color="auto"/>
        <w:left w:val="none" w:sz="0" w:space="0" w:color="auto"/>
        <w:bottom w:val="none" w:sz="0" w:space="0" w:color="auto"/>
        <w:right w:val="none" w:sz="0" w:space="0" w:color="auto"/>
      </w:divBdr>
    </w:div>
    <w:div w:id="2072193544">
      <w:bodyDiv w:val="1"/>
      <w:marLeft w:val="0"/>
      <w:marRight w:val="0"/>
      <w:marTop w:val="0"/>
      <w:marBottom w:val="0"/>
      <w:divBdr>
        <w:top w:val="none" w:sz="0" w:space="0" w:color="auto"/>
        <w:left w:val="none" w:sz="0" w:space="0" w:color="auto"/>
        <w:bottom w:val="none" w:sz="0" w:space="0" w:color="auto"/>
        <w:right w:val="none" w:sz="0" w:space="0" w:color="auto"/>
      </w:divBdr>
    </w:div>
    <w:div w:id="2077243258">
      <w:bodyDiv w:val="1"/>
      <w:marLeft w:val="0"/>
      <w:marRight w:val="0"/>
      <w:marTop w:val="0"/>
      <w:marBottom w:val="0"/>
      <w:divBdr>
        <w:top w:val="none" w:sz="0" w:space="0" w:color="auto"/>
        <w:left w:val="none" w:sz="0" w:space="0" w:color="auto"/>
        <w:bottom w:val="none" w:sz="0" w:space="0" w:color="auto"/>
        <w:right w:val="none" w:sz="0" w:space="0" w:color="auto"/>
      </w:divBdr>
    </w:div>
    <w:div w:id="2103917250">
      <w:bodyDiv w:val="1"/>
      <w:marLeft w:val="0"/>
      <w:marRight w:val="0"/>
      <w:marTop w:val="0"/>
      <w:marBottom w:val="0"/>
      <w:divBdr>
        <w:top w:val="none" w:sz="0" w:space="0" w:color="auto"/>
        <w:left w:val="none" w:sz="0" w:space="0" w:color="auto"/>
        <w:bottom w:val="none" w:sz="0" w:space="0" w:color="auto"/>
        <w:right w:val="none" w:sz="0" w:space="0" w:color="auto"/>
      </w:divBdr>
    </w:div>
    <w:div w:id="21328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Z:\DU%20LIEU%20TTTT\4.Factsheet\Sector%20Historical%20Value%20-%20T4.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Chart!$AZ$3</c:f>
          <c:strCache>
            <c:ptCount val="1"/>
            <c:pt idx="0">
              <c:v>Indices performance from 27/04/2018 to 26/04/2019</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9746006591943933E-2"/>
          <c:y val="0.16712962962962713"/>
          <c:w val="0.65192316369260039"/>
          <c:h val="0.58821011956838731"/>
        </c:manualLayout>
      </c:layout>
      <c:lineChart>
        <c:grouping val="standard"/>
        <c:varyColors val="0"/>
        <c:ser>
          <c:idx val="1"/>
          <c:order val="0"/>
          <c:tx>
            <c:strRef>
              <c:f>Chart!$AA$19</c:f>
              <c:strCache>
                <c:ptCount val="1"/>
                <c:pt idx="0">
                  <c:v>VNAllShare Utilities</c:v>
                </c:pt>
              </c:strCache>
            </c:strRef>
          </c:tx>
          <c:spPr>
            <a:ln w="19050"/>
          </c:spPr>
          <c:marker>
            <c:symbol val="none"/>
          </c:marker>
          <c:cat>
            <c:numRef>
              <c:f>Chart!$Z$22:$Z$34</c:f>
              <c:numCache>
                <c:formatCode>dd/mm/yyyy</c:formatCode>
                <c:ptCount val="13"/>
                <c:pt idx="0">
                  <c:v>43217</c:v>
                </c:pt>
                <c:pt idx="1">
                  <c:v>43251</c:v>
                </c:pt>
                <c:pt idx="2">
                  <c:v>43280</c:v>
                </c:pt>
                <c:pt idx="3">
                  <c:v>43312</c:v>
                </c:pt>
                <c:pt idx="4">
                  <c:v>43343</c:v>
                </c:pt>
                <c:pt idx="5">
                  <c:v>43371</c:v>
                </c:pt>
                <c:pt idx="6">
                  <c:v>43404</c:v>
                </c:pt>
                <c:pt idx="7">
                  <c:v>43434</c:v>
                </c:pt>
                <c:pt idx="8">
                  <c:v>43462</c:v>
                </c:pt>
                <c:pt idx="9">
                  <c:v>43496</c:v>
                </c:pt>
                <c:pt idx="10">
                  <c:v>43524</c:v>
                </c:pt>
                <c:pt idx="11">
                  <c:v>43553</c:v>
                </c:pt>
                <c:pt idx="12">
                  <c:v>43581</c:v>
                </c:pt>
              </c:numCache>
            </c:numRef>
          </c:cat>
          <c:val>
            <c:numRef>
              <c:f>Chart!$AA$22:$AA$34</c:f>
              <c:numCache>
                <c:formatCode>General</c:formatCode>
                <c:ptCount val="13"/>
                <c:pt idx="0">
                  <c:v>100</c:v>
                </c:pt>
                <c:pt idx="1">
                  <c:v>88.193889359468386</c:v>
                </c:pt>
                <c:pt idx="2">
                  <c:v>88.007778480333101</c:v>
                </c:pt>
                <c:pt idx="3">
                  <c:v>87.711909903246195</c:v>
                </c:pt>
                <c:pt idx="4">
                  <c:v>94.54909867455649</c:v>
                </c:pt>
                <c:pt idx="5">
                  <c:v>102.22259338351964</c:v>
                </c:pt>
                <c:pt idx="6">
                  <c:v>94.11245391966213</c:v>
                </c:pt>
                <c:pt idx="7">
                  <c:v>88.972930411233449</c:v>
                </c:pt>
                <c:pt idx="8">
                  <c:v>85.550160460982326</c:v>
                </c:pt>
                <c:pt idx="9">
                  <c:v>90.114649073621166</c:v>
                </c:pt>
                <c:pt idx="10">
                  <c:v>96.740673578220253</c:v>
                </c:pt>
                <c:pt idx="11">
                  <c:v>96.282554491117963</c:v>
                </c:pt>
                <c:pt idx="12">
                  <c:v>105.6370122045788</c:v>
                </c:pt>
              </c:numCache>
            </c:numRef>
          </c:val>
          <c:smooth val="0"/>
          <c:extLst>
            <c:ext xmlns:c16="http://schemas.microsoft.com/office/drawing/2014/chart" uri="{C3380CC4-5D6E-409C-BE32-E72D297353CC}">
              <c16:uniqueId val="{00000000-5E6F-4B17-A1A1-EEFAC1B58979}"/>
            </c:ext>
          </c:extLst>
        </c:ser>
        <c:ser>
          <c:idx val="7"/>
          <c:order val="1"/>
          <c:tx>
            <c:strRef>
              <c:f>Chart!$AE$19</c:f>
              <c:strCache>
                <c:ptCount val="1"/>
                <c:pt idx="0">
                  <c:v>VNAllShare Information Technology</c:v>
                </c:pt>
              </c:strCache>
            </c:strRef>
          </c:tx>
          <c:spPr>
            <a:ln w="19050"/>
          </c:spPr>
          <c:marker>
            <c:symbol val="none"/>
          </c:marker>
          <c:cat>
            <c:numRef>
              <c:f>Chart!$Z$22:$Z$34</c:f>
              <c:numCache>
                <c:formatCode>dd/mm/yyyy</c:formatCode>
                <c:ptCount val="13"/>
                <c:pt idx="0">
                  <c:v>43217</c:v>
                </c:pt>
                <c:pt idx="1">
                  <c:v>43251</c:v>
                </c:pt>
                <c:pt idx="2">
                  <c:v>43280</c:v>
                </c:pt>
                <c:pt idx="3">
                  <c:v>43312</c:v>
                </c:pt>
                <c:pt idx="4">
                  <c:v>43343</c:v>
                </c:pt>
                <c:pt idx="5">
                  <c:v>43371</c:v>
                </c:pt>
                <c:pt idx="6">
                  <c:v>43404</c:v>
                </c:pt>
                <c:pt idx="7">
                  <c:v>43434</c:v>
                </c:pt>
                <c:pt idx="8">
                  <c:v>43462</c:v>
                </c:pt>
                <c:pt idx="9">
                  <c:v>43496</c:v>
                </c:pt>
                <c:pt idx="10">
                  <c:v>43524</c:v>
                </c:pt>
                <c:pt idx="11">
                  <c:v>43553</c:v>
                </c:pt>
                <c:pt idx="12">
                  <c:v>43581</c:v>
                </c:pt>
              </c:numCache>
            </c:numRef>
          </c:cat>
          <c:val>
            <c:numRef>
              <c:f>Chart!$AE$22:$AE$34</c:f>
              <c:numCache>
                <c:formatCode>General</c:formatCode>
                <c:ptCount val="13"/>
                <c:pt idx="0">
                  <c:v>100</c:v>
                </c:pt>
                <c:pt idx="1">
                  <c:v>92.307081613210542</c:v>
                </c:pt>
                <c:pt idx="2">
                  <c:v>83.878101891757026</c:v>
                </c:pt>
                <c:pt idx="3">
                  <c:v>85.976273646962753</c:v>
                </c:pt>
                <c:pt idx="4">
                  <c:v>89.201787415506047</c:v>
                </c:pt>
                <c:pt idx="5">
                  <c:v>93.427618745179871</c:v>
                </c:pt>
                <c:pt idx="6">
                  <c:v>84.403211904005815</c:v>
                </c:pt>
                <c:pt idx="7">
                  <c:v>86.046590754434519</c:v>
                </c:pt>
                <c:pt idx="8">
                  <c:v>85.243614752982808</c:v>
                </c:pt>
                <c:pt idx="9">
                  <c:v>87.396225559134422</c:v>
                </c:pt>
                <c:pt idx="10">
                  <c:v>89.583994919021904</c:v>
                </c:pt>
                <c:pt idx="11">
                  <c:v>92.139227872794081</c:v>
                </c:pt>
                <c:pt idx="12">
                  <c:v>99.796987705847656</c:v>
                </c:pt>
              </c:numCache>
            </c:numRef>
          </c:val>
          <c:smooth val="0"/>
          <c:extLst>
            <c:ext xmlns:c16="http://schemas.microsoft.com/office/drawing/2014/chart" uri="{C3380CC4-5D6E-409C-BE32-E72D297353CC}">
              <c16:uniqueId val="{00000001-5E6F-4B17-A1A1-EEFAC1B58979}"/>
            </c:ext>
          </c:extLst>
        </c:ser>
        <c:ser>
          <c:idx val="0"/>
          <c:order val="2"/>
          <c:tx>
            <c:strRef>
              <c:f>Chart!$AD$19</c:f>
              <c:strCache>
                <c:ptCount val="1"/>
                <c:pt idx="0">
                  <c:v>VNAllShare Real Estate</c:v>
                </c:pt>
              </c:strCache>
            </c:strRef>
          </c:tx>
          <c:spPr>
            <a:ln w="19050"/>
          </c:spPr>
          <c:marker>
            <c:symbol val="none"/>
          </c:marker>
          <c:cat>
            <c:numRef>
              <c:f>Chart!$Z$22:$Z$34</c:f>
              <c:numCache>
                <c:formatCode>dd/mm/yyyy</c:formatCode>
                <c:ptCount val="13"/>
                <c:pt idx="0">
                  <c:v>43217</c:v>
                </c:pt>
                <c:pt idx="1">
                  <c:v>43251</c:v>
                </c:pt>
                <c:pt idx="2">
                  <c:v>43280</c:v>
                </c:pt>
                <c:pt idx="3">
                  <c:v>43312</c:v>
                </c:pt>
                <c:pt idx="4">
                  <c:v>43343</c:v>
                </c:pt>
                <c:pt idx="5">
                  <c:v>43371</c:v>
                </c:pt>
                <c:pt idx="6">
                  <c:v>43404</c:v>
                </c:pt>
                <c:pt idx="7">
                  <c:v>43434</c:v>
                </c:pt>
                <c:pt idx="8">
                  <c:v>43462</c:v>
                </c:pt>
                <c:pt idx="9">
                  <c:v>43496</c:v>
                </c:pt>
                <c:pt idx="10">
                  <c:v>43524</c:v>
                </c:pt>
                <c:pt idx="11">
                  <c:v>43553</c:v>
                </c:pt>
                <c:pt idx="12">
                  <c:v>43581</c:v>
                </c:pt>
              </c:numCache>
            </c:numRef>
          </c:cat>
          <c:val>
            <c:numRef>
              <c:f>Chart!$AD$22:$AD$34</c:f>
              <c:numCache>
                <c:formatCode>General</c:formatCode>
                <c:ptCount val="13"/>
                <c:pt idx="0">
                  <c:v>100</c:v>
                </c:pt>
                <c:pt idx="1">
                  <c:v>91.226557286081729</c:v>
                </c:pt>
                <c:pt idx="2">
                  <c:v>96.807066745652648</c:v>
                </c:pt>
                <c:pt idx="3">
                  <c:v>97.164003389398388</c:v>
                </c:pt>
                <c:pt idx="4">
                  <c:v>96.040702775257387</c:v>
                </c:pt>
                <c:pt idx="5">
                  <c:v>96.161431345936109</c:v>
                </c:pt>
                <c:pt idx="6">
                  <c:v>91.491260301296535</c:v>
                </c:pt>
                <c:pt idx="7">
                  <c:v>93.531648132456496</c:v>
                </c:pt>
                <c:pt idx="8">
                  <c:v>88.371814003014464</c:v>
                </c:pt>
                <c:pt idx="9">
                  <c:v>91.692224630128152</c:v>
                </c:pt>
                <c:pt idx="10">
                  <c:v>98.43277818187272</c:v>
                </c:pt>
                <c:pt idx="11">
                  <c:v>100.97182750061864</c:v>
                </c:pt>
                <c:pt idx="12">
                  <c:v>100.94708189296399</c:v>
                </c:pt>
              </c:numCache>
            </c:numRef>
          </c:val>
          <c:smooth val="0"/>
          <c:extLst>
            <c:ext xmlns:c16="http://schemas.microsoft.com/office/drawing/2014/chart" uri="{C3380CC4-5D6E-409C-BE32-E72D297353CC}">
              <c16:uniqueId val="{00000002-5E6F-4B17-A1A1-EEFAC1B58979}"/>
            </c:ext>
          </c:extLst>
        </c:ser>
        <c:ser>
          <c:idx val="9"/>
          <c:order val="3"/>
          <c:tx>
            <c:strRef>
              <c:f>Chart!$AB$19</c:f>
              <c:strCache>
                <c:ptCount val="1"/>
                <c:pt idx="0">
                  <c:v>VNAllShare Consumer Discretionary</c:v>
                </c:pt>
              </c:strCache>
            </c:strRef>
          </c:tx>
          <c:spPr>
            <a:ln w="19050"/>
          </c:spPr>
          <c:marker>
            <c:symbol val="none"/>
          </c:marker>
          <c:cat>
            <c:numRef>
              <c:f>Chart!$Z$22:$Z$34</c:f>
              <c:numCache>
                <c:formatCode>dd/mm/yyyy</c:formatCode>
                <c:ptCount val="13"/>
                <c:pt idx="0">
                  <c:v>43217</c:v>
                </c:pt>
                <c:pt idx="1">
                  <c:v>43251</c:v>
                </c:pt>
                <c:pt idx="2">
                  <c:v>43280</c:v>
                </c:pt>
                <c:pt idx="3">
                  <c:v>43312</c:v>
                </c:pt>
                <c:pt idx="4">
                  <c:v>43343</c:v>
                </c:pt>
                <c:pt idx="5">
                  <c:v>43371</c:v>
                </c:pt>
                <c:pt idx="6">
                  <c:v>43404</c:v>
                </c:pt>
                <c:pt idx="7">
                  <c:v>43434</c:v>
                </c:pt>
                <c:pt idx="8">
                  <c:v>43462</c:v>
                </c:pt>
                <c:pt idx="9">
                  <c:v>43496</c:v>
                </c:pt>
                <c:pt idx="10">
                  <c:v>43524</c:v>
                </c:pt>
                <c:pt idx="11">
                  <c:v>43553</c:v>
                </c:pt>
                <c:pt idx="12">
                  <c:v>43581</c:v>
                </c:pt>
              </c:numCache>
            </c:numRef>
          </c:cat>
          <c:val>
            <c:numRef>
              <c:f>Chart!$AB$22:$AB$34</c:f>
              <c:numCache>
                <c:formatCode>General</c:formatCode>
                <c:ptCount val="13"/>
                <c:pt idx="0">
                  <c:v>100</c:v>
                </c:pt>
                <c:pt idx="1">
                  <c:v>100.88891645218973</c:v>
                </c:pt>
                <c:pt idx="2">
                  <c:v>98.197360124861746</c:v>
                </c:pt>
                <c:pt idx="3">
                  <c:v>102.25640071526765</c:v>
                </c:pt>
                <c:pt idx="4">
                  <c:v>105.99708518093584</c:v>
                </c:pt>
                <c:pt idx="5">
                  <c:v>112.0210445801937</c:v>
                </c:pt>
                <c:pt idx="6">
                  <c:v>101.67447052621785</c:v>
                </c:pt>
                <c:pt idx="7">
                  <c:v>100.77211696486712</c:v>
                </c:pt>
                <c:pt idx="8">
                  <c:v>102.40214166847549</c:v>
                </c:pt>
                <c:pt idx="9">
                  <c:v>101.21657519096199</c:v>
                </c:pt>
                <c:pt idx="10">
                  <c:v>105.03271419268813</c:v>
                </c:pt>
                <c:pt idx="11">
                  <c:v>105.98158082421159</c:v>
                </c:pt>
                <c:pt idx="12">
                  <c:v>105.60017364879531</c:v>
                </c:pt>
              </c:numCache>
            </c:numRef>
          </c:val>
          <c:smooth val="0"/>
          <c:extLst>
            <c:ext xmlns:c16="http://schemas.microsoft.com/office/drawing/2014/chart" uri="{C3380CC4-5D6E-409C-BE32-E72D297353CC}">
              <c16:uniqueId val="{00000003-5E6F-4B17-A1A1-EEFAC1B58979}"/>
            </c:ext>
          </c:extLst>
        </c:ser>
        <c:ser>
          <c:idx val="8"/>
          <c:order val="4"/>
          <c:tx>
            <c:strRef>
              <c:f>Chart!$AC$19</c:f>
              <c:strCache>
                <c:ptCount val="1"/>
                <c:pt idx="0">
                  <c:v>VNAllShare Health Care</c:v>
                </c:pt>
              </c:strCache>
            </c:strRef>
          </c:tx>
          <c:spPr>
            <a:ln w="19050"/>
          </c:spPr>
          <c:marker>
            <c:symbol val="none"/>
          </c:marker>
          <c:cat>
            <c:numRef>
              <c:f>Chart!$Z$22:$Z$34</c:f>
              <c:numCache>
                <c:formatCode>dd/mm/yyyy</c:formatCode>
                <c:ptCount val="13"/>
                <c:pt idx="0">
                  <c:v>43217</c:v>
                </c:pt>
                <c:pt idx="1">
                  <c:v>43251</c:v>
                </c:pt>
                <c:pt idx="2">
                  <c:v>43280</c:v>
                </c:pt>
                <c:pt idx="3">
                  <c:v>43312</c:v>
                </c:pt>
                <c:pt idx="4">
                  <c:v>43343</c:v>
                </c:pt>
                <c:pt idx="5">
                  <c:v>43371</c:v>
                </c:pt>
                <c:pt idx="6">
                  <c:v>43404</c:v>
                </c:pt>
                <c:pt idx="7">
                  <c:v>43434</c:v>
                </c:pt>
                <c:pt idx="8">
                  <c:v>43462</c:v>
                </c:pt>
                <c:pt idx="9">
                  <c:v>43496</c:v>
                </c:pt>
                <c:pt idx="10">
                  <c:v>43524</c:v>
                </c:pt>
                <c:pt idx="11">
                  <c:v>43553</c:v>
                </c:pt>
                <c:pt idx="12">
                  <c:v>43581</c:v>
                </c:pt>
              </c:numCache>
            </c:numRef>
          </c:cat>
          <c:val>
            <c:numRef>
              <c:f>Chart!$AC$22:$AC$34</c:f>
              <c:numCache>
                <c:formatCode>General</c:formatCode>
                <c:ptCount val="13"/>
                <c:pt idx="0">
                  <c:v>100</c:v>
                </c:pt>
                <c:pt idx="1">
                  <c:v>101.41426816197423</c:v>
                </c:pt>
                <c:pt idx="2">
                  <c:v>98.955201770667244</c:v>
                </c:pt>
                <c:pt idx="3">
                  <c:v>97.625458569698239</c:v>
                </c:pt>
                <c:pt idx="4">
                  <c:v>93.054139544610891</c:v>
                </c:pt>
                <c:pt idx="5">
                  <c:v>97.22897550518914</c:v>
                </c:pt>
                <c:pt idx="6">
                  <c:v>88.918516194808248</c:v>
                </c:pt>
                <c:pt idx="7">
                  <c:v>87.942557882170462</c:v>
                </c:pt>
                <c:pt idx="8">
                  <c:v>88.093308585818988</c:v>
                </c:pt>
                <c:pt idx="9">
                  <c:v>83.268414677715924</c:v>
                </c:pt>
                <c:pt idx="10">
                  <c:v>101.05699770824074</c:v>
                </c:pt>
                <c:pt idx="11">
                  <c:v>104.0624264763548</c:v>
                </c:pt>
                <c:pt idx="12">
                  <c:v>102.52790630800199</c:v>
                </c:pt>
              </c:numCache>
            </c:numRef>
          </c:val>
          <c:smooth val="0"/>
          <c:extLst>
            <c:ext xmlns:c16="http://schemas.microsoft.com/office/drawing/2014/chart" uri="{C3380CC4-5D6E-409C-BE32-E72D297353CC}">
              <c16:uniqueId val="{00000004-5E6F-4B17-A1A1-EEFAC1B58979}"/>
            </c:ext>
          </c:extLst>
        </c:ser>
        <c:dLbls>
          <c:showLegendKey val="0"/>
          <c:showVal val="0"/>
          <c:showCatName val="0"/>
          <c:showSerName val="0"/>
          <c:showPercent val="0"/>
          <c:showBubbleSize val="0"/>
        </c:dLbls>
        <c:smooth val="0"/>
        <c:axId val="117989376"/>
        <c:axId val="117990912"/>
      </c:lineChart>
      <c:dateAx>
        <c:axId val="117989376"/>
        <c:scaling>
          <c:orientation val="minMax"/>
        </c:scaling>
        <c:delete val="0"/>
        <c:axPos val="b"/>
        <c:numFmt formatCode="[$-1010000]d/m/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7990912"/>
        <c:crosses val="autoZero"/>
        <c:auto val="0"/>
        <c:lblOffset val="100"/>
        <c:baseTimeUnit val="days"/>
      </c:dateAx>
      <c:valAx>
        <c:axId val="117990912"/>
        <c:scaling>
          <c:orientation val="minMax"/>
          <c:min val="80"/>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17989376"/>
        <c:crosses val="autoZero"/>
        <c:crossBetween val="between"/>
      </c:valAx>
      <c:spPr>
        <a:noFill/>
        <a:ln>
          <a:noFill/>
        </a:ln>
        <a:effectLst/>
      </c:spPr>
    </c:plotArea>
    <c:legend>
      <c:legendPos val="r"/>
      <c:layout>
        <c:manualLayout>
          <c:xMode val="edge"/>
          <c:yMode val="edge"/>
          <c:x val="0.74806378479155256"/>
          <c:y val="0.1822324292796734"/>
          <c:w val="0.25193624539110493"/>
          <c:h val="0.6405524084810428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0.06905</cdr:x>
      <cdr:y>0.93608</cdr:y>
    </cdr:from>
    <cdr:to>
      <cdr:x>0.74067</cdr:x>
      <cdr:y>0.99907</cdr:y>
    </cdr:to>
    <cdr:sp macro="" textlink="">
      <cdr:nvSpPr>
        <cdr:cNvPr id="4" name="TextBox 1"/>
        <cdr:cNvSpPr txBox="1"/>
      </cdr:nvSpPr>
      <cdr:spPr>
        <a:xfrm xmlns:a="http://schemas.openxmlformats.org/drawingml/2006/main">
          <a:off x="386271" y="2535714"/>
          <a:ext cx="3757104" cy="17062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0920DD88-5C79-478E-AD73-F11F15CC5477}" type="TxLink">
            <a:rPr lang="en-US" sz="800" b="0" i="0" u="none" strike="noStrike">
              <a:solidFill>
                <a:srgbClr val="000000"/>
              </a:solidFill>
              <a:latin typeface="Calibri"/>
              <a:ea typeface="+mn-ea"/>
              <a:cs typeface="Calibri"/>
            </a:rPr>
            <a:pPr/>
            <a:t>* Indices values are simulatedly rebased to 100 at 27/04/2018</a:t>
          </a:fld>
          <a:endParaRPr lang="en-US" sz="800">
            <a:latin typeface="+mj-lt"/>
            <a:ea typeface="+mn-ea"/>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1813F-C837-4DCE-823D-22045F11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HCM Exchange Stock</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 Minh Tai</dc:creator>
  <cp:lastModifiedBy>Nguyen Thi Minh Hoang</cp:lastModifiedBy>
  <cp:revision>2</cp:revision>
  <cp:lastPrinted>2018-05-11T08:44:00Z</cp:lastPrinted>
  <dcterms:created xsi:type="dcterms:W3CDTF">2019-06-10T03:00:00Z</dcterms:created>
  <dcterms:modified xsi:type="dcterms:W3CDTF">2019-06-10T03:00:00Z</dcterms:modified>
</cp:coreProperties>
</file>