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4"/>
        <w:gridCol w:w="64"/>
        <w:gridCol w:w="2276"/>
        <w:gridCol w:w="29"/>
        <w:gridCol w:w="2833"/>
      </w:tblGrid>
      <w:tr w:rsidR="00CF648E" w:rsidRPr="006D2F55" w14:paraId="3BF1129E" w14:textId="77777777" w:rsidTr="00460A89">
        <w:trPr>
          <w:trHeight w:val="838"/>
          <w:jc w:val="center"/>
        </w:trPr>
        <w:tc>
          <w:tcPr>
            <w:tcW w:w="8543" w:type="dxa"/>
            <w:gridSpan w:val="4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4202E01" w14:textId="77777777" w:rsidR="00CF648E" w:rsidRPr="006D2F55" w:rsidRDefault="00E8671D" w:rsidP="00E8671D">
            <w:pPr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VNAllshare</w:t>
            </w:r>
            <w:proofErr w:type="spellEnd"/>
            <w:r w:rsidR="001875B0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r w:rsidR="007F7697" w:rsidRPr="007F7697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Sector</w:t>
            </w:r>
          </w:p>
        </w:tc>
        <w:tc>
          <w:tcPr>
            <w:tcW w:w="2833" w:type="dxa"/>
            <w:tcBorders>
              <w:left w:val="single" w:sz="4" w:space="0" w:color="FFFFFF" w:themeColor="background1"/>
            </w:tcBorders>
            <w:shd w:val="clear" w:color="auto" w:fill="0070C0"/>
            <w:vAlign w:val="bottom"/>
          </w:tcPr>
          <w:p w14:paraId="3191A844" w14:textId="0AD09C53" w:rsidR="00CF648E" w:rsidRPr="00D6169B" w:rsidRDefault="00AA60BF" w:rsidP="006A6F7D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nhật</w:t>
            </w:r>
            <w:proofErr w:type="spellEnd"/>
            <w:r w:rsidR="00E56C25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:</w:t>
            </w:r>
            <w:r w:rsidR="002B36A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7505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31</w:t>
            </w:r>
            <w:r w:rsidR="00321A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/</w:t>
            </w:r>
            <w:r w:rsidR="00731E9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="0057505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5</w:t>
            </w:r>
            <w:r w:rsidR="00321A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/</w:t>
            </w:r>
            <w:r w:rsidR="001875B0" w:rsidRPr="00D6169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201</w:t>
            </w:r>
            <w:r w:rsidR="00BB13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9</w:t>
            </w:r>
          </w:p>
        </w:tc>
      </w:tr>
      <w:tr w:rsidR="00CF648E" w:rsidRPr="006D2F55" w14:paraId="5BC824E6" w14:textId="77777777" w:rsidTr="00460A89">
        <w:trPr>
          <w:trHeight w:hRule="exact" w:val="528"/>
          <w:jc w:val="center"/>
        </w:trPr>
        <w:tc>
          <w:tcPr>
            <w:tcW w:w="11376" w:type="dxa"/>
            <w:gridSpan w:val="5"/>
            <w:vAlign w:val="center"/>
          </w:tcPr>
          <w:p w14:paraId="2A64100A" w14:textId="77777777" w:rsidR="00CF648E" w:rsidRPr="001875B0" w:rsidRDefault="00E8671D" w:rsidP="00E8671D">
            <w:pPr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875B0" w:rsidRPr="001704E5">
              <w:rPr>
                <w:rFonts w:ascii="Times New Roman" w:hAnsi="Times New Roman" w:cs="Times New Roman"/>
                <w:b/>
                <w:sz w:val="16"/>
                <w:szCs w:val="16"/>
              </w:rPr>
              <w:t>VNAllshare</w:t>
            </w:r>
            <w:proofErr w:type="spellEnd"/>
            <w:r w:rsidR="001875B0" w:rsidRPr="001704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Sector </w:t>
            </w:r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bao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gồm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các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chỉ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số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ngành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với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các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cổ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phiếu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thành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phần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của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chỉ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số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VNAllShare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được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phân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ngành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theo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chuẩn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phân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ngành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Global Industry Classification Standard (GICS®)</w:t>
            </w:r>
            <w:r w:rsidR="001875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61B6" w:rsidRPr="006D2F55" w14:paraId="46BA87F9" w14:textId="77777777" w:rsidTr="00460A89">
        <w:trPr>
          <w:trHeight w:val="352"/>
          <w:jc w:val="center"/>
        </w:trPr>
        <w:tc>
          <w:tcPr>
            <w:tcW w:w="6174" w:type="dxa"/>
            <w:shd w:val="clear" w:color="auto" w:fill="0070C0"/>
            <w:vAlign w:val="center"/>
          </w:tcPr>
          <w:p w14:paraId="283C8085" w14:textId="77777777" w:rsidR="003F61B6" w:rsidRPr="006D2F55" w:rsidRDefault="00314426" w:rsidP="00E5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Top-</w:t>
            </w:r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5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ngành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tăng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trưởng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tốt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nhất</w:t>
            </w:r>
            <w:proofErr w:type="spellEnd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>trong</w:t>
            </w:r>
            <w:proofErr w:type="spellEnd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12 </w:t>
            </w:r>
            <w:proofErr w:type="spellStart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>tháng</w:t>
            </w:r>
            <w:proofErr w:type="spellEnd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qua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41B368C" w14:textId="77777777" w:rsidR="003F61B6" w:rsidRPr="006D2F55" w:rsidRDefault="003F61B6" w:rsidP="00C84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gridSpan w:val="2"/>
            <w:shd w:val="clear" w:color="auto" w:fill="0070C0"/>
            <w:vAlign w:val="center"/>
          </w:tcPr>
          <w:p w14:paraId="13087699" w14:textId="77777777" w:rsidR="003F61B6" w:rsidRPr="003F61B6" w:rsidRDefault="003F61B6" w:rsidP="003F61B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>Thông</w:t>
            </w:r>
            <w:proofErr w:type="spellEnd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tin </w:t>
            </w:r>
            <w:proofErr w:type="spellStart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>cơ</w:t>
            </w:r>
            <w:proofErr w:type="spellEnd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>bản</w:t>
            </w:r>
            <w:proofErr w:type="spellEnd"/>
          </w:p>
        </w:tc>
      </w:tr>
      <w:tr w:rsidR="003F61B6" w:rsidRPr="006D2F55" w14:paraId="37441B48" w14:textId="77777777" w:rsidTr="00B2367D">
        <w:tblPrEx>
          <w:tblCellMar>
            <w:left w:w="108" w:type="dxa"/>
            <w:right w:w="108" w:type="dxa"/>
          </w:tblCellMar>
        </w:tblPrEx>
        <w:trPr>
          <w:trHeight w:hRule="exact" w:val="4008"/>
          <w:jc w:val="center"/>
        </w:trPr>
        <w:tc>
          <w:tcPr>
            <w:tcW w:w="8543" w:type="dxa"/>
            <w:gridSpan w:val="4"/>
          </w:tcPr>
          <w:p w14:paraId="7CFF44BA" w14:textId="1FEA16DA" w:rsidR="003F61B6" w:rsidRPr="006D2F55" w:rsidRDefault="00575050" w:rsidP="00954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577FA4" wp14:editId="0BCC70E8">
                  <wp:extent cx="5304155" cy="2255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155" cy="225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14:paraId="67FC9BA3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cơ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sở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B31" w:rsidRPr="00E86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/01/201</w:t>
            </w:r>
            <w:r w:rsidR="00883FED" w:rsidRPr="00E86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0EBB705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Giá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trị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cơ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sở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6B31" w:rsidRPr="00E867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B31" w:rsidRPr="00E867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4DD92FDB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Hình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tính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00DB3C3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Chỉ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sô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́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́</w:t>
            </w:r>
          </w:p>
          <w:p w14:paraId="48B5F317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Tần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suấ</w:t>
            </w:r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tính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73B9C7D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Theo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thời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gian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phút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lần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EF26CD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Giới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hạn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tỷ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trọng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vốn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hóa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35B05393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0BF" w:rsidRPr="00E8671D">
              <w:rPr>
                <w:rFonts w:ascii="Times New Roman" w:hAnsi="Times New Roman" w:cs="Times New Roman"/>
                <w:sz w:val="20"/>
                <w:szCs w:val="20"/>
              </w:rPr>
              <w:t>áp</w:t>
            </w:r>
            <w:proofErr w:type="spellEnd"/>
            <w:r w:rsidR="00AA60BF"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0BF" w:rsidRPr="00E8671D">
              <w:rPr>
                <w:rFonts w:ascii="Times New Roman" w:hAnsi="Times New Roman" w:cs="Times New Roman"/>
                <w:sz w:val="20"/>
                <w:szCs w:val="20"/>
              </w:rPr>
              <w:t>dụng</w:t>
            </w:r>
            <w:proofErr w:type="spellEnd"/>
          </w:p>
          <w:p w14:paraId="488304B8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Phương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pháp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tính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558EA46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Giá trị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vốn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hóa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̣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trường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điều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chỉnh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free-float.</w:t>
            </w:r>
          </w:p>
          <w:p w14:paraId="1F205AB2" w14:textId="77777777" w:rsidR="003F61B6" w:rsidRPr="006D2F55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Đơn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vị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tiền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tệ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VND</w:t>
            </w:r>
          </w:p>
        </w:tc>
      </w:tr>
      <w:tr w:rsidR="00CF648E" w:rsidRPr="006D2F55" w14:paraId="4EB7EF0A" w14:textId="77777777" w:rsidTr="00460A89">
        <w:tblPrEx>
          <w:tblCellMar>
            <w:left w:w="108" w:type="dxa"/>
            <w:right w:w="108" w:type="dxa"/>
          </w:tblCellMar>
        </w:tblPrEx>
        <w:trPr>
          <w:trHeight w:hRule="exact" w:val="352"/>
          <w:jc w:val="center"/>
        </w:trPr>
        <w:tc>
          <w:tcPr>
            <w:tcW w:w="6238" w:type="dxa"/>
            <w:gridSpan w:val="2"/>
            <w:shd w:val="clear" w:color="auto" w:fill="0070C0"/>
            <w:vAlign w:val="center"/>
          </w:tcPr>
          <w:p w14:paraId="4AD770F9" w14:textId="77777777" w:rsidR="00CF648E" w:rsidRPr="00C84839" w:rsidRDefault="00C72200" w:rsidP="0010674A">
            <w:pPr>
              <w:tabs>
                <w:tab w:val="center" w:pos="2700"/>
                <w:tab w:val="left" w:pos="423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số</w:t>
            </w:r>
            <w:proofErr w:type="spellEnd"/>
          </w:p>
        </w:tc>
        <w:tc>
          <w:tcPr>
            <w:tcW w:w="5138" w:type="dxa"/>
            <w:gridSpan w:val="3"/>
            <w:vAlign w:val="center"/>
          </w:tcPr>
          <w:p w14:paraId="4615D5CD" w14:textId="77777777" w:rsidR="00CF648E" w:rsidRPr="006D2F55" w:rsidRDefault="00CF648E" w:rsidP="00C84839">
            <w:pPr>
              <w:tabs>
                <w:tab w:val="center" w:pos="2700"/>
                <w:tab w:val="left" w:pos="4236"/>
              </w:tabs>
              <w:rPr>
                <w:rFonts w:ascii="Times New Roman" w:hAnsi="Times New Roman" w:cs="Times New Roman"/>
              </w:rPr>
            </w:pPr>
          </w:p>
        </w:tc>
      </w:tr>
      <w:tr w:rsidR="00CF648E" w:rsidRPr="001F0241" w14:paraId="5A9ED0D5" w14:textId="77777777" w:rsidTr="00460A89">
        <w:tblPrEx>
          <w:tblCellMar>
            <w:left w:w="108" w:type="dxa"/>
            <w:right w:w="108" w:type="dxa"/>
          </w:tblCellMar>
        </w:tblPrEx>
        <w:trPr>
          <w:trHeight w:hRule="exact" w:val="3538"/>
          <w:jc w:val="center"/>
        </w:trPr>
        <w:tc>
          <w:tcPr>
            <w:tcW w:w="11376" w:type="dxa"/>
            <w:gridSpan w:val="5"/>
          </w:tcPr>
          <w:tbl>
            <w:tblPr>
              <w:tblW w:w="0" w:type="auto"/>
              <w:jc w:val="center"/>
              <w:tblBorders>
                <w:top w:val="single" w:sz="4" w:space="0" w:color="548DD4" w:themeColor="text2" w:themeTint="99"/>
                <w:bottom w:val="single" w:sz="4" w:space="0" w:color="548DD4" w:themeColor="text2" w:themeTint="99"/>
                <w:insideH w:val="single" w:sz="4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1701"/>
              <w:gridCol w:w="1701"/>
              <w:gridCol w:w="1702"/>
              <w:gridCol w:w="1625"/>
            </w:tblGrid>
            <w:tr w:rsidR="00954D17" w:rsidRPr="00954D17" w14:paraId="570E1F4E" w14:textId="77777777" w:rsidTr="00954D17">
              <w:trPr>
                <w:trHeight w:val="148"/>
                <w:jc w:val="center"/>
              </w:trPr>
              <w:tc>
                <w:tcPr>
                  <w:tcW w:w="443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A3D1C" w14:textId="77777777" w:rsidR="00954D17" w:rsidRPr="00954D17" w:rsidRDefault="00954D17" w:rsidP="009123A7">
                  <w:pPr>
                    <w:tabs>
                      <w:tab w:val="left" w:pos="6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712EA" w14:textId="77777777" w:rsidR="00954D17" w:rsidRPr="00954D17" w:rsidRDefault="00954D1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DA09C" w14:textId="77777777" w:rsidR="00954D17" w:rsidRPr="00954D17" w:rsidRDefault="00954D1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73A97" w14:textId="77777777" w:rsidR="00954D17" w:rsidRPr="00954D17" w:rsidRDefault="00954D1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F9C5A" w14:textId="77777777" w:rsidR="00954D17" w:rsidRPr="00954D17" w:rsidRDefault="00954D1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BE2757" w:rsidRPr="001F0241" w14:paraId="2E004B3C" w14:textId="77777777" w:rsidTr="009C0576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3D3E1C8" w14:textId="77777777" w:rsidR="00BE2757" w:rsidRPr="0036233A" w:rsidRDefault="0036233A" w:rsidP="009123A7">
                  <w:pPr>
                    <w:tabs>
                      <w:tab w:val="left" w:pos="6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proofErr w:type="spellStart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Chỉ</w:t>
                  </w:r>
                  <w:proofErr w:type="spellEnd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số</w:t>
                  </w:r>
                  <w:proofErr w:type="spellEnd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ngành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2898575" w14:textId="77777777" w:rsidR="00BE2757" w:rsidRPr="00C72200" w:rsidRDefault="00BE275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tháng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0D19E23" w14:textId="77777777" w:rsidR="00BE2757" w:rsidRPr="00C72200" w:rsidRDefault="00BE275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3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tháng</w:t>
                  </w:r>
                  <w:proofErr w:type="spellEnd"/>
                </w:p>
              </w:tc>
              <w:tc>
                <w:tcPr>
                  <w:tcW w:w="1702" w:type="dxa"/>
                  <w:shd w:val="clear" w:color="auto" w:fill="auto"/>
                  <w:noWrap/>
                  <w:vAlign w:val="center"/>
                  <w:hideMark/>
                </w:tcPr>
                <w:p w14:paraId="34AC8D3E" w14:textId="77777777" w:rsidR="00BE2757" w:rsidRPr="00C72200" w:rsidRDefault="00BE275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6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tháng</w:t>
                  </w:r>
                  <w:proofErr w:type="spellEnd"/>
                </w:p>
              </w:tc>
              <w:tc>
                <w:tcPr>
                  <w:tcW w:w="1625" w:type="dxa"/>
                  <w:shd w:val="clear" w:color="auto" w:fill="auto"/>
                  <w:noWrap/>
                  <w:vAlign w:val="center"/>
                  <w:hideMark/>
                </w:tcPr>
                <w:p w14:paraId="5AB35CE9" w14:textId="77777777" w:rsidR="00BE2757" w:rsidRPr="00C72200" w:rsidRDefault="00BE275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năm</w:t>
                  </w:r>
                  <w:proofErr w:type="spellEnd"/>
                </w:p>
              </w:tc>
            </w:tr>
            <w:tr w:rsidR="00223D31" w:rsidRPr="00773F88" w14:paraId="63DEE563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C53088C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Energy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787BD532" w14:textId="00D7A1E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-0.31%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1AEE669" w14:textId="7CFF5C10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4.22%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6DCA1EBC" w14:textId="53A6961D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4.48%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7E0A1545" w14:textId="506D227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3.25%</w:t>
                  </w:r>
                </w:p>
              </w:tc>
            </w:tr>
            <w:tr w:rsidR="00223D31" w:rsidRPr="00773F88" w14:paraId="34BC1373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7912E166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Materials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645E0F79" w14:textId="784C6F1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-3.33%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078473E5" w14:textId="07AD9B35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-3.47%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7F5ED0FC" w14:textId="111C9263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-2.05%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7384479C" w14:textId="17B6D7B3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-16.46%</w:t>
                  </w:r>
                </w:p>
              </w:tc>
            </w:tr>
            <w:tr w:rsidR="00223D31" w:rsidRPr="00773F88" w14:paraId="0D32E1AD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2E42EC49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Industrials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586F6743" w14:textId="12D2DE26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1.17%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4D95EC4" w14:textId="59F79C05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-3.05%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62154E7B" w14:textId="027327C9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-5.60%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6670B73F" w14:textId="5AC6623E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-9.67%</w:t>
                  </w:r>
                </w:p>
              </w:tc>
            </w:tr>
            <w:tr w:rsidR="00223D31" w:rsidRPr="00773F88" w14:paraId="075889BB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74087200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Consumer Discretionary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030A6722" w14:textId="4531A432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1.76%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1234404" w14:textId="48765A4F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2.31%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00F51DEF" w14:textId="5AECC6E4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6.64%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568A0116" w14:textId="151C4D26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6.51%</w:t>
                  </w:r>
                </w:p>
              </w:tc>
            </w:tr>
            <w:tr w:rsidR="00223D31" w:rsidRPr="00773F88" w14:paraId="0300E9F2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6AA8769D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Consumer Staples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5BDB6144" w14:textId="4DA5877D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0.34%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0A2F4DB1" w14:textId="076D2742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-4.72%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53C42690" w14:textId="651E76CE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1.92%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2708430C" w14:textId="1AF1D27F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0.29%</w:t>
                  </w:r>
                </w:p>
              </w:tc>
            </w:tr>
            <w:tr w:rsidR="00223D31" w:rsidRPr="00773F88" w14:paraId="58D658A6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51BA06F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Health Care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1FE6B305" w14:textId="0D94034B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-1.81%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706E987C" w14:textId="512D22F3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-0.38%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5DDCCCCC" w14:textId="64E82AEE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14.47%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7AA9A2C5" w14:textId="0D31FD39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-0.73%</w:t>
                  </w:r>
                </w:p>
              </w:tc>
            </w:tr>
            <w:tr w:rsidR="00223D31" w:rsidRPr="00773F88" w14:paraId="173823D0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3213C686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Financials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3BB3E3F0" w14:textId="2B5887DB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-3.04%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7F3C3F2E" w14:textId="3865045D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-6.62%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4550D57A" w14:textId="28C8F08F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-6.23%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491A7645" w14:textId="203BC56C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-19.55%</w:t>
                  </w:r>
                </w:p>
              </w:tc>
            </w:tr>
            <w:tr w:rsidR="00223D31" w:rsidRPr="00773F88" w14:paraId="3E8E6812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FC2A7DF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Real Estate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9AEF086" w14:textId="5ECC7508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-3.31%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574E2EB4" w14:textId="435367CF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-0.84%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6D628A0D" w14:textId="77380A70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4.35%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78570CAE" w14:textId="28E15B2B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6.99%</w:t>
                  </w:r>
                </w:p>
              </w:tc>
            </w:tr>
            <w:tr w:rsidR="00223D31" w:rsidRPr="00773F88" w14:paraId="06C8BD5F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783B53ED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Utilities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170F9FB0" w14:textId="31DA9FB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-4.15%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D6DEEB1" w14:textId="445A61EB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4.66%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0D6AC848" w14:textId="500FCA3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13.80%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54922CAD" w14:textId="2C4573D5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14.81%</w:t>
                  </w:r>
                </w:p>
              </w:tc>
            </w:tr>
            <w:tr w:rsidR="00223D31" w:rsidRPr="00773F88" w14:paraId="24922A5C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E1594CA" w14:textId="77777777" w:rsidR="00223D31" w:rsidRPr="00773F88" w:rsidRDefault="00223D31" w:rsidP="00223D31">
                  <w:pPr>
                    <w:tabs>
                      <w:tab w:val="left" w:pos="572"/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Information Technology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7CF9FAD2" w14:textId="1CAD488E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-1.31%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1D184AA5" w14:textId="6261F6C0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9.95%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47F45543" w14:textId="4CD8A9B2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14.47%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0377C376" w14:textId="75610DE0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6.70%</w:t>
                  </w:r>
                </w:p>
              </w:tc>
            </w:tr>
          </w:tbl>
          <w:p w14:paraId="166FD082" w14:textId="77777777" w:rsidR="00CF648E" w:rsidRPr="001F0241" w:rsidRDefault="00CF648E" w:rsidP="001F024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48E" w:rsidRPr="006D2F55" w14:paraId="5CC3662F" w14:textId="77777777" w:rsidTr="00460A89">
        <w:tblPrEx>
          <w:tblCellMar>
            <w:left w:w="108" w:type="dxa"/>
            <w:right w:w="108" w:type="dxa"/>
          </w:tblCellMar>
        </w:tblPrEx>
        <w:trPr>
          <w:trHeight w:val="352"/>
          <w:jc w:val="center"/>
        </w:trPr>
        <w:tc>
          <w:tcPr>
            <w:tcW w:w="6238" w:type="dxa"/>
            <w:gridSpan w:val="2"/>
            <w:shd w:val="clear" w:color="auto" w:fill="0070C0"/>
            <w:vAlign w:val="center"/>
          </w:tcPr>
          <w:p w14:paraId="19BE71C5" w14:textId="77777777" w:rsidR="00CF648E" w:rsidRPr="006D2F55" w:rsidRDefault="00C72200" w:rsidP="001067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số</w:t>
            </w:r>
            <w:proofErr w:type="spellEnd"/>
          </w:p>
        </w:tc>
        <w:tc>
          <w:tcPr>
            <w:tcW w:w="5138" w:type="dxa"/>
            <w:gridSpan w:val="3"/>
          </w:tcPr>
          <w:p w14:paraId="3A1F45BE" w14:textId="77777777" w:rsidR="00CF648E" w:rsidRPr="006D2F55" w:rsidRDefault="00CF648E" w:rsidP="00C848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48E" w:rsidRPr="006D2F55" w14:paraId="554BAFEC" w14:textId="77777777" w:rsidTr="00460A89">
        <w:tblPrEx>
          <w:tblCellMar>
            <w:left w:w="108" w:type="dxa"/>
            <w:right w:w="108" w:type="dxa"/>
          </w:tblCellMar>
        </w:tblPrEx>
        <w:trPr>
          <w:trHeight w:hRule="exact" w:val="2872"/>
          <w:jc w:val="center"/>
        </w:trPr>
        <w:tc>
          <w:tcPr>
            <w:tcW w:w="11376" w:type="dxa"/>
            <w:gridSpan w:val="5"/>
            <w:vAlign w:val="center"/>
          </w:tcPr>
          <w:tbl>
            <w:tblPr>
              <w:tblW w:w="11145" w:type="dxa"/>
              <w:tblInd w:w="1" w:type="dxa"/>
              <w:tblBorders>
                <w:top w:val="single" w:sz="4" w:space="0" w:color="548DD4" w:themeColor="text2" w:themeTint="99"/>
                <w:bottom w:val="single" w:sz="4" w:space="0" w:color="548DD4" w:themeColor="text2" w:themeTint="99"/>
                <w:insideH w:val="single" w:sz="4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810"/>
              <w:gridCol w:w="900"/>
              <w:gridCol w:w="990"/>
              <w:gridCol w:w="1170"/>
              <w:gridCol w:w="990"/>
              <w:gridCol w:w="720"/>
              <w:gridCol w:w="990"/>
              <w:gridCol w:w="1080"/>
              <w:gridCol w:w="900"/>
              <w:gridCol w:w="1120"/>
            </w:tblGrid>
            <w:tr w:rsidR="002D2ADC" w:rsidRPr="00BE2757" w14:paraId="51C12711" w14:textId="77777777" w:rsidTr="00D00A26">
              <w:trPr>
                <w:trHeight w:val="532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4F3402F3" w14:textId="77777777" w:rsidR="002D2ADC" w:rsidRPr="0049210C" w:rsidRDefault="002D2ADC" w:rsidP="002D2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1961F102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Energy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5D678D33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Materials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8A0D58F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Industrials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7D2DCEB3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Consumer Discretionary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15F9D9D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Consumer Staples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2C2E8227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Health Care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0F43DE26" w14:textId="77777777" w:rsidR="002D2ADC" w:rsidRPr="0088397C" w:rsidRDefault="0049210C" w:rsidP="00B765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Financials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39AE1253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Real Estate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6601CEAB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Utilities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6E627220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Information Technology</w:t>
                  </w:r>
                </w:p>
              </w:tc>
            </w:tr>
            <w:tr w:rsidR="00D05040" w:rsidRPr="00BE2757" w14:paraId="2EB20DC9" w14:textId="77777777" w:rsidTr="002642E0">
              <w:trPr>
                <w:trHeight w:val="218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7A049150" w14:textId="77777777" w:rsidR="00D05040" w:rsidRPr="00C72200" w:rsidRDefault="00D05040" w:rsidP="00D05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Số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lượng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cổ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phiếu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thành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phần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1C47979C" w14:textId="6207D83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019004BB" w14:textId="26CAE5B3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0D12313C" w14:textId="74DDBD9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0DF7803A" w14:textId="2A01B191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AFEDD3D" w14:textId="5E9E852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4E7A5D24" w14:textId="70F4FA2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47540691" w14:textId="7654ACE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7D8CD65E" w14:textId="376944E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1F08D15B" w14:textId="68B6406C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3054579E" w14:textId="4CD09B75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D05040" w:rsidRPr="00BE2757" w14:paraId="4024BCFA" w14:textId="77777777" w:rsidTr="002642E0">
              <w:trPr>
                <w:trHeight w:val="434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7FC79322" w14:textId="77777777" w:rsidR="00D05040" w:rsidRPr="00C72200" w:rsidRDefault="00D05040" w:rsidP="00D05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Giá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trị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vốn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hóa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đồng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)</w:t>
                  </w:r>
                  <w:bookmarkEnd w:id="0"/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26648B9F" w14:textId="6D2AC2AF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14,335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7A4D076F" w14:textId="4E9BC2D6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116,747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82321C2" w14:textId="197CFB12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184,826 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76D31A2A" w14:textId="494A48D2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92,529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B9FC5DB" w14:textId="26E0CC09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558,794 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5B761B21" w14:textId="3972332B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22,842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5CFBA025" w14:textId="42C80AB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623,476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3C3B9F82" w14:textId="2E4D654A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851,471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5662FF90" w14:textId="5643B0BF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232,661 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2EF32023" w14:textId="24CFEC2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33,739 </w:t>
                  </w:r>
                </w:p>
              </w:tc>
            </w:tr>
            <w:tr w:rsidR="00D05040" w:rsidRPr="00BE2757" w14:paraId="4EA20458" w14:textId="77777777" w:rsidTr="002642E0">
              <w:trPr>
                <w:trHeight w:val="650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5C7289A0" w14:textId="77777777" w:rsidR="00D05040" w:rsidRPr="00C72200" w:rsidRDefault="00D05040" w:rsidP="00D05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Giá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trị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vốn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hóa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có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điều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chỉnh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free-float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Tỷ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đồng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3116B1EB" w14:textId="206FF2D7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6,589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4EB44256" w14:textId="553B14E1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62,013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461BF65" w14:textId="5CBCD4C8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100,732 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64F883F2" w14:textId="3969FA4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54,226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CEAB74D" w14:textId="35EEB03B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199,322 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4386DD63" w14:textId="0701D55C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7,204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7E805B1" w14:textId="29602149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223,996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0B2F3244" w14:textId="0E192B87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276,716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2CA821D0" w14:textId="17CCD7E2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21,095 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4925EA80" w14:textId="3AF7DAD9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25,780 </w:t>
                  </w:r>
                </w:p>
              </w:tc>
            </w:tr>
            <w:tr w:rsidR="00D05040" w:rsidRPr="00BE2757" w14:paraId="51031C09" w14:textId="77777777" w:rsidTr="002642E0">
              <w:trPr>
                <w:trHeight w:val="218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388D87A0" w14:textId="77777777" w:rsidR="00D05040" w:rsidRPr="00C72200" w:rsidRDefault="00D05040" w:rsidP="00D05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Tỷ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trọng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trong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VNAllshare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2898CEEE" w14:textId="24A92D97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0.67%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09475715" w14:textId="7A544671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6.33%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0E47335" w14:textId="61583A3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10.28%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27248309" w14:textId="14642AA3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5.54%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3EC3AE63" w14:textId="4A076410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20.35%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7405D5B1" w14:textId="62D3A90A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0.74%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EE3DD51" w14:textId="03C216A9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22.87%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26AE2333" w14:textId="41C0907F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28.25%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01892CE7" w14:textId="6E0F7A13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2.15%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068C5770" w14:textId="22BDF08C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2.63%</w:t>
                  </w:r>
                </w:p>
              </w:tc>
            </w:tr>
          </w:tbl>
          <w:p w14:paraId="7F575B04" w14:textId="77777777" w:rsidR="00CF648E" w:rsidRPr="006D2F55" w:rsidRDefault="00CF648E" w:rsidP="0066444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3A8DA28" w14:textId="277F816A" w:rsidR="00C84839" w:rsidRDefault="00772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632A5" wp14:editId="6C0218D5">
                <wp:simplePos x="0" y="0"/>
                <wp:positionH relativeFrom="column">
                  <wp:posOffset>30480</wp:posOffset>
                </wp:positionH>
                <wp:positionV relativeFrom="paragraph">
                  <wp:posOffset>83185</wp:posOffset>
                </wp:positionV>
                <wp:extent cx="6953250" cy="8521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0B9C8" w14:textId="77777777" w:rsidR="00253895" w:rsidRPr="00C72200" w:rsidRDefault="00253895" w:rsidP="00AC70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Lưu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ý: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D542D1D" w14:textId="77777777" w:rsidR="00253895" w:rsidRPr="00C72200" w:rsidRDefault="00253895" w:rsidP="00AC70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VN30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VNMidcap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VNSmallCap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VN100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VNAllshare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"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và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VNAllshare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Sector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 (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gọi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chung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là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"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HOSE-Index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")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là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thương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hiệu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đã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được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đăng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ký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thuộc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sở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hữu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độc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quyền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của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vi-VN"/>
                              </w:rPr>
                              <w:t xml:space="preserve">ở </w:t>
                            </w:r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vi-VN"/>
                              </w:rPr>
                              <w:t xml:space="preserve">GDCK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Thành</w:t>
                            </w:r>
                            <w:proofErr w:type="spellEnd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phố</w:t>
                            </w:r>
                            <w:proofErr w:type="spellEnd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Hồ</w:t>
                            </w:r>
                            <w:proofErr w:type="spellEnd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Chí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Minh (HOSE).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khi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sự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chấp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thuận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của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thì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Bộ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HOSE-Index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mới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được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sử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dụng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tạo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ra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các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sản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phẩm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quan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như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quỹ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đầu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tư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theo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sản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phẩm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phái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sinh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gram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 .</w:t>
                            </w:r>
                            <w:proofErr w:type="gram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biết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thêm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xin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vui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lòng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hệ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qua e-mail: </w:t>
                            </w:r>
                            <w:r w:rsidRPr="00E8671D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index@hsx.vn</w:t>
                            </w:r>
                          </w:p>
                          <w:p w14:paraId="715363E2" w14:textId="77777777" w:rsidR="00253895" w:rsidRPr="00C72200" w:rsidRDefault="00253895" w:rsidP="00AC70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Bản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nhằm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mục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đích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cung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cấp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tin.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đã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nỗ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lực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hết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mức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cung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cấp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chính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xác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tuy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sẽ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nghĩa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vụ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pháp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lý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trách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nhiệm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cũng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như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ban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giám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đốc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cán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bộ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nhân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đối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tác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người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nhượng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quyền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của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quan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đến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sai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sót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tổn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thất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gây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ra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bởi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việc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sử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dụng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bất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dữ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liệu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thuộc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272BD7B4" w14:textId="77777777" w:rsidR="00253895" w:rsidRPr="00C72200" w:rsidRDefault="00253895" w:rsidP="00AC7057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3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6.55pt;width:547.5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" strokecolor="#0070c0">
                <v:textbox>
                  <w:txbxContent>
                    <w:p w14:paraId="6930B9C8" w14:textId="77777777" w:rsidR="00253895" w:rsidRPr="00C72200" w:rsidRDefault="00253895" w:rsidP="00AC70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Lưu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ý: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D542D1D" w14:textId="77777777" w:rsidR="00253895" w:rsidRPr="00C72200" w:rsidRDefault="00253895" w:rsidP="00AC70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</w:t>
                      </w:r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VN30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VNMidcap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VNSmallCap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VN100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VNAllshare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"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và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VNAllshare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Sector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 (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gọi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chung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là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"</w:t>
                      </w:r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HOSE-Index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")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là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thương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hiệu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đã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được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đăng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ký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thuộc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sở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hữu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độc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quyền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của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S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vi-VN"/>
                        </w:rPr>
                        <w:t xml:space="preserve">ở </w:t>
                      </w:r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vi-VN"/>
                        </w:rPr>
                        <w:t xml:space="preserve">GDCK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Thành</w:t>
                      </w:r>
                      <w:proofErr w:type="spellEnd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phố</w:t>
                      </w:r>
                      <w:proofErr w:type="spellEnd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Hồ</w:t>
                      </w:r>
                      <w:proofErr w:type="spellEnd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Chí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Minh (HOSE).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khi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sự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chấp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thuận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của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thì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Bộ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HOSE-Index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mới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được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sử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dụng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tạo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ra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các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sản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phẩm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quan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như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quỹ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đầu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tư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theo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sản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phẩm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phái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sinh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gram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 .</w:t>
                      </w:r>
                      <w:proofErr w:type="gram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biết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thêm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xin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vui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lòng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hệ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qua e-mail: </w:t>
                      </w:r>
                      <w:r w:rsidRPr="00E8671D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index@hsx.vn</w:t>
                      </w:r>
                    </w:p>
                    <w:p w14:paraId="715363E2" w14:textId="77777777" w:rsidR="00253895" w:rsidRPr="00C72200" w:rsidRDefault="00253895" w:rsidP="00AC70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Bản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nhằm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mục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đích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cung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cấp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tin.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đã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nỗ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lực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hết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mức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cung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cấp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chính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xác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tuy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sẽ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nghĩa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vụ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pháp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lý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trách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nhiệm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cũng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như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ban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giám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đốc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cán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bộ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nhân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đối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tác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người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nhượng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quyền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của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quan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đến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sai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sót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tổn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thất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gây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ra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bởi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việc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sử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dụng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bất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dữ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liệu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thuộc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14:paraId="272BD7B4" w14:textId="77777777" w:rsidR="00253895" w:rsidRPr="00C72200" w:rsidRDefault="00253895" w:rsidP="00AC7057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4839" w:rsidSect="0057266E">
      <w:footerReference w:type="default" r:id="rId9"/>
      <w:pgSz w:w="11909" w:h="16834" w:code="9"/>
      <w:pgMar w:top="432" w:right="389" w:bottom="432" w:left="432" w:header="86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5005" w14:textId="77777777" w:rsidR="00380174" w:rsidRDefault="00380174" w:rsidP="00A13865">
      <w:pPr>
        <w:spacing w:after="0" w:line="240" w:lineRule="auto"/>
      </w:pPr>
      <w:r>
        <w:separator/>
      </w:r>
    </w:p>
  </w:endnote>
  <w:endnote w:type="continuationSeparator" w:id="0">
    <w:p w14:paraId="04FD977E" w14:textId="77777777" w:rsidR="00380174" w:rsidRDefault="00380174" w:rsidP="00A1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D307" w14:textId="1E98823A" w:rsidR="00253895" w:rsidRDefault="007720ED" w:rsidP="00D77B5E">
    <w:pPr>
      <w:pStyle w:val="Footer"/>
      <w:tabs>
        <w:tab w:val="clear" w:pos="4680"/>
        <w:tab w:val="clear" w:pos="9360"/>
        <w:tab w:val="left" w:pos="0"/>
        <w:tab w:val="right" w:pos="9072"/>
        <w:tab w:val="right" w:pos="9639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E9E50E" wp14:editId="6B7FBD92">
              <wp:simplePos x="0" y="0"/>
              <wp:positionH relativeFrom="column">
                <wp:posOffset>20320</wp:posOffset>
              </wp:positionH>
              <wp:positionV relativeFrom="paragraph">
                <wp:posOffset>57784</wp:posOffset>
              </wp:positionV>
              <wp:extent cx="65087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8EF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4.55pt;width:51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x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6bzhy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"/>
          </w:pict>
        </mc:Fallback>
      </mc:AlternateContent>
    </w:r>
    <w:r w:rsidR="00253895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F05261A" wp14:editId="23936905">
          <wp:simplePos x="0" y="0"/>
          <wp:positionH relativeFrom="column">
            <wp:posOffset>6583680</wp:posOffset>
          </wp:positionH>
          <wp:positionV relativeFrom="paragraph">
            <wp:posOffset>116205</wp:posOffset>
          </wp:positionV>
          <wp:extent cx="456565" cy="457200"/>
          <wp:effectExtent l="19050" t="0" r="63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895">
      <w:rPr>
        <w:sz w:val="16"/>
      </w:rPr>
      <w:tab/>
    </w:r>
  </w:p>
  <w:p w14:paraId="048F7E2D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ind w:left="5245"/>
      <w:jc w:val="center"/>
      <w:rPr>
        <w:rFonts w:ascii="Times New Roman" w:hAnsi="Times New Roman" w:cs="Times New Roman"/>
        <w:b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Sở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Giao </w:t>
    </w:r>
    <w:proofErr w:type="spellStart"/>
    <w:r>
      <w:rPr>
        <w:rFonts w:ascii="Times New Roman" w:hAnsi="Times New Roman" w:cs="Times New Roman"/>
        <w:b/>
        <w:sz w:val="18"/>
        <w:szCs w:val="18"/>
      </w:rPr>
      <w:t>Dịch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Chứng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Khoán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Thành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phố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Hồ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Chí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Minh</w:t>
    </w:r>
  </w:p>
  <w:p w14:paraId="0FE83488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ind w:left="72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Số</w:t>
    </w:r>
    <w:proofErr w:type="spellEnd"/>
    <w:r>
      <w:rPr>
        <w:rFonts w:ascii="Times New Roman" w:hAnsi="Times New Roman" w:cs="Times New Roman"/>
        <w:sz w:val="18"/>
        <w:szCs w:val="18"/>
      </w:rPr>
      <w:t xml:space="preserve"> 16 </w:t>
    </w:r>
    <w:proofErr w:type="spellStart"/>
    <w:r>
      <w:rPr>
        <w:rFonts w:ascii="Times New Roman" w:hAnsi="Times New Roman" w:cs="Times New Roman"/>
        <w:sz w:val="18"/>
        <w:szCs w:val="18"/>
      </w:rPr>
      <w:t>Võ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Văn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Kiệt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Quận</w:t>
    </w:r>
    <w:proofErr w:type="spellEnd"/>
    <w:r>
      <w:rPr>
        <w:rFonts w:ascii="Times New Roman" w:hAnsi="Times New Roman" w:cs="Times New Roman"/>
        <w:sz w:val="18"/>
        <w:szCs w:val="18"/>
      </w:rPr>
      <w:t xml:space="preserve"> 1, TP. </w:t>
    </w:r>
    <w:proofErr w:type="spellStart"/>
    <w:r>
      <w:rPr>
        <w:rFonts w:ascii="Times New Roman" w:hAnsi="Times New Roman" w:cs="Times New Roman"/>
        <w:sz w:val="18"/>
        <w:szCs w:val="18"/>
      </w:rPr>
      <w:t>Hồ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Chí</w:t>
    </w:r>
    <w:proofErr w:type="spellEnd"/>
    <w:r>
      <w:rPr>
        <w:rFonts w:ascii="Times New Roman" w:hAnsi="Times New Roman" w:cs="Times New Roman"/>
        <w:sz w:val="18"/>
        <w:szCs w:val="18"/>
      </w:rPr>
      <w:t xml:space="preserve"> Minh</w:t>
    </w:r>
  </w:p>
  <w:p w14:paraId="5A33F103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ind w:left="72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Điện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thoại</w:t>
    </w:r>
    <w:proofErr w:type="spellEnd"/>
    <w:r>
      <w:rPr>
        <w:rFonts w:ascii="Times New Roman" w:hAnsi="Times New Roman" w:cs="Times New Roman"/>
        <w:sz w:val="18"/>
        <w:szCs w:val="18"/>
      </w:rPr>
      <w:t>: (84.8) 3821.7713 - Fax: (84.8) 3821.7452</w:t>
    </w:r>
  </w:p>
  <w:p w14:paraId="15B1F55B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Website: www.hsx.vn</w:t>
    </w:r>
  </w:p>
  <w:p w14:paraId="671E61CC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F205" w14:textId="77777777" w:rsidR="00380174" w:rsidRDefault="00380174" w:rsidP="00A13865">
      <w:pPr>
        <w:spacing w:after="0" w:line="240" w:lineRule="auto"/>
      </w:pPr>
      <w:r>
        <w:separator/>
      </w:r>
    </w:p>
  </w:footnote>
  <w:footnote w:type="continuationSeparator" w:id="0">
    <w:p w14:paraId="112442DA" w14:textId="77777777" w:rsidR="00380174" w:rsidRDefault="00380174" w:rsidP="00A1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7A75"/>
    <w:multiLevelType w:val="hybridMultilevel"/>
    <w:tmpl w:val="7D5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AFB"/>
    <w:multiLevelType w:val="hybridMultilevel"/>
    <w:tmpl w:val="A54A8DD6"/>
    <w:lvl w:ilvl="0" w:tplc="04090005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D1632D7"/>
    <w:multiLevelType w:val="hybridMultilevel"/>
    <w:tmpl w:val="551A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CB5"/>
    <w:multiLevelType w:val="hybridMultilevel"/>
    <w:tmpl w:val="E4F2BBAE"/>
    <w:lvl w:ilvl="0" w:tplc="8BE8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5B62"/>
    <w:multiLevelType w:val="hybridMultilevel"/>
    <w:tmpl w:val="31945728"/>
    <w:lvl w:ilvl="0" w:tplc="E9D07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3"/>
    <w:rsid w:val="00007DD0"/>
    <w:rsid w:val="00010C0C"/>
    <w:rsid w:val="0001472C"/>
    <w:rsid w:val="00015855"/>
    <w:rsid w:val="00015C86"/>
    <w:rsid w:val="00025BD8"/>
    <w:rsid w:val="0002778A"/>
    <w:rsid w:val="00027DBC"/>
    <w:rsid w:val="000309FC"/>
    <w:rsid w:val="00031283"/>
    <w:rsid w:val="000327B6"/>
    <w:rsid w:val="00033C0A"/>
    <w:rsid w:val="00035BCA"/>
    <w:rsid w:val="00047536"/>
    <w:rsid w:val="00056FFC"/>
    <w:rsid w:val="000603D5"/>
    <w:rsid w:val="00060415"/>
    <w:rsid w:val="0006583E"/>
    <w:rsid w:val="000672AC"/>
    <w:rsid w:val="00071055"/>
    <w:rsid w:val="00076514"/>
    <w:rsid w:val="00077BFB"/>
    <w:rsid w:val="00086321"/>
    <w:rsid w:val="00086CA7"/>
    <w:rsid w:val="0009725A"/>
    <w:rsid w:val="00097BA6"/>
    <w:rsid w:val="000A42FD"/>
    <w:rsid w:val="000A71BE"/>
    <w:rsid w:val="000B0889"/>
    <w:rsid w:val="000B3930"/>
    <w:rsid w:val="000B4952"/>
    <w:rsid w:val="000B67E0"/>
    <w:rsid w:val="000C374E"/>
    <w:rsid w:val="000C5FA1"/>
    <w:rsid w:val="000C7FD2"/>
    <w:rsid w:val="000D5BA8"/>
    <w:rsid w:val="000D5C5B"/>
    <w:rsid w:val="000D7F3A"/>
    <w:rsid w:val="000E5F4D"/>
    <w:rsid w:val="000F6696"/>
    <w:rsid w:val="00100B04"/>
    <w:rsid w:val="0010667C"/>
    <w:rsid w:val="0010674A"/>
    <w:rsid w:val="00106E90"/>
    <w:rsid w:val="001137E8"/>
    <w:rsid w:val="001139C2"/>
    <w:rsid w:val="001236A4"/>
    <w:rsid w:val="001266E7"/>
    <w:rsid w:val="00132C38"/>
    <w:rsid w:val="001356E6"/>
    <w:rsid w:val="001358BB"/>
    <w:rsid w:val="0013623C"/>
    <w:rsid w:val="001370C1"/>
    <w:rsid w:val="00144CAD"/>
    <w:rsid w:val="00151044"/>
    <w:rsid w:val="001517C6"/>
    <w:rsid w:val="00155623"/>
    <w:rsid w:val="00155E63"/>
    <w:rsid w:val="00165395"/>
    <w:rsid w:val="00165674"/>
    <w:rsid w:val="00170202"/>
    <w:rsid w:val="001704E5"/>
    <w:rsid w:val="00182A5C"/>
    <w:rsid w:val="0018502C"/>
    <w:rsid w:val="00186CC8"/>
    <w:rsid w:val="001875B0"/>
    <w:rsid w:val="001918E6"/>
    <w:rsid w:val="001A28CE"/>
    <w:rsid w:val="001B2738"/>
    <w:rsid w:val="001B456E"/>
    <w:rsid w:val="001B663A"/>
    <w:rsid w:val="001B6BB3"/>
    <w:rsid w:val="001C201D"/>
    <w:rsid w:val="001C2B68"/>
    <w:rsid w:val="001C42F4"/>
    <w:rsid w:val="001C431E"/>
    <w:rsid w:val="001C51D6"/>
    <w:rsid w:val="001D0053"/>
    <w:rsid w:val="001D3A5E"/>
    <w:rsid w:val="001E35D7"/>
    <w:rsid w:val="001E440A"/>
    <w:rsid w:val="001E5943"/>
    <w:rsid w:val="001E75CE"/>
    <w:rsid w:val="001F0241"/>
    <w:rsid w:val="001F03C6"/>
    <w:rsid w:val="001F7035"/>
    <w:rsid w:val="001F7F9B"/>
    <w:rsid w:val="00200B91"/>
    <w:rsid w:val="0020209C"/>
    <w:rsid w:val="00206AEC"/>
    <w:rsid w:val="00206EFD"/>
    <w:rsid w:val="00207782"/>
    <w:rsid w:val="00212A7C"/>
    <w:rsid w:val="002148E4"/>
    <w:rsid w:val="002210AA"/>
    <w:rsid w:val="002225BF"/>
    <w:rsid w:val="00223D31"/>
    <w:rsid w:val="00223E8C"/>
    <w:rsid w:val="002312AC"/>
    <w:rsid w:val="00231BFE"/>
    <w:rsid w:val="0023377E"/>
    <w:rsid w:val="002361A1"/>
    <w:rsid w:val="00240A0E"/>
    <w:rsid w:val="00242ADE"/>
    <w:rsid w:val="00242C0A"/>
    <w:rsid w:val="00243E29"/>
    <w:rsid w:val="002463CD"/>
    <w:rsid w:val="00252690"/>
    <w:rsid w:val="00253895"/>
    <w:rsid w:val="00253D08"/>
    <w:rsid w:val="0025409B"/>
    <w:rsid w:val="002545C2"/>
    <w:rsid w:val="00254749"/>
    <w:rsid w:val="002623A5"/>
    <w:rsid w:val="00265A59"/>
    <w:rsid w:val="00273155"/>
    <w:rsid w:val="00276DCC"/>
    <w:rsid w:val="00280264"/>
    <w:rsid w:val="002812D2"/>
    <w:rsid w:val="002834E5"/>
    <w:rsid w:val="002844C9"/>
    <w:rsid w:val="00285EB5"/>
    <w:rsid w:val="002B36A0"/>
    <w:rsid w:val="002B3E23"/>
    <w:rsid w:val="002B5617"/>
    <w:rsid w:val="002C053A"/>
    <w:rsid w:val="002C3A5C"/>
    <w:rsid w:val="002D0B9F"/>
    <w:rsid w:val="002D1729"/>
    <w:rsid w:val="002D2ADC"/>
    <w:rsid w:val="002E0295"/>
    <w:rsid w:val="002E2286"/>
    <w:rsid w:val="002E3AFE"/>
    <w:rsid w:val="002E415A"/>
    <w:rsid w:val="002F1DFC"/>
    <w:rsid w:val="002F202A"/>
    <w:rsid w:val="002F2C0B"/>
    <w:rsid w:val="002F391E"/>
    <w:rsid w:val="002F53B4"/>
    <w:rsid w:val="002F6126"/>
    <w:rsid w:val="00301A9C"/>
    <w:rsid w:val="00303743"/>
    <w:rsid w:val="00314426"/>
    <w:rsid w:val="003201F6"/>
    <w:rsid w:val="00321A38"/>
    <w:rsid w:val="00326A16"/>
    <w:rsid w:val="003337B8"/>
    <w:rsid w:val="00333B28"/>
    <w:rsid w:val="00335A1D"/>
    <w:rsid w:val="003366DA"/>
    <w:rsid w:val="003375EE"/>
    <w:rsid w:val="003402FB"/>
    <w:rsid w:val="003405D4"/>
    <w:rsid w:val="00351009"/>
    <w:rsid w:val="00355CE6"/>
    <w:rsid w:val="00356D87"/>
    <w:rsid w:val="0036233A"/>
    <w:rsid w:val="0036470D"/>
    <w:rsid w:val="00366304"/>
    <w:rsid w:val="00380114"/>
    <w:rsid w:val="00380174"/>
    <w:rsid w:val="00381010"/>
    <w:rsid w:val="00384992"/>
    <w:rsid w:val="00395AE4"/>
    <w:rsid w:val="003A2AA5"/>
    <w:rsid w:val="003A7587"/>
    <w:rsid w:val="003B4DE0"/>
    <w:rsid w:val="003B5159"/>
    <w:rsid w:val="003B68E2"/>
    <w:rsid w:val="003B72AD"/>
    <w:rsid w:val="003B79FF"/>
    <w:rsid w:val="003C2DD5"/>
    <w:rsid w:val="003C5ACC"/>
    <w:rsid w:val="003D075B"/>
    <w:rsid w:val="003D4B15"/>
    <w:rsid w:val="003E5AC9"/>
    <w:rsid w:val="003F0F4F"/>
    <w:rsid w:val="003F61B6"/>
    <w:rsid w:val="00401B7D"/>
    <w:rsid w:val="00402192"/>
    <w:rsid w:val="00403681"/>
    <w:rsid w:val="0040714A"/>
    <w:rsid w:val="00411395"/>
    <w:rsid w:val="00411CE2"/>
    <w:rsid w:val="004125A0"/>
    <w:rsid w:val="00427B76"/>
    <w:rsid w:val="0043136E"/>
    <w:rsid w:val="00431DD0"/>
    <w:rsid w:val="00432D0A"/>
    <w:rsid w:val="0044083B"/>
    <w:rsid w:val="00442084"/>
    <w:rsid w:val="00442EC4"/>
    <w:rsid w:val="00443BC9"/>
    <w:rsid w:val="004464E9"/>
    <w:rsid w:val="00446F9E"/>
    <w:rsid w:val="00451F8C"/>
    <w:rsid w:val="004532FE"/>
    <w:rsid w:val="00460A89"/>
    <w:rsid w:val="00463686"/>
    <w:rsid w:val="004644C1"/>
    <w:rsid w:val="00465C63"/>
    <w:rsid w:val="004660DC"/>
    <w:rsid w:val="004703DA"/>
    <w:rsid w:val="0047733C"/>
    <w:rsid w:val="004806F4"/>
    <w:rsid w:val="00481965"/>
    <w:rsid w:val="00483227"/>
    <w:rsid w:val="00486DC1"/>
    <w:rsid w:val="00490246"/>
    <w:rsid w:val="0049210C"/>
    <w:rsid w:val="00493228"/>
    <w:rsid w:val="004A0D1C"/>
    <w:rsid w:val="004A178C"/>
    <w:rsid w:val="004A7886"/>
    <w:rsid w:val="004B6A59"/>
    <w:rsid w:val="004B7830"/>
    <w:rsid w:val="004D18B7"/>
    <w:rsid w:val="004D6C81"/>
    <w:rsid w:val="004D70C3"/>
    <w:rsid w:val="004D79CC"/>
    <w:rsid w:val="004E1251"/>
    <w:rsid w:val="004E50B9"/>
    <w:rsid w:val="004E69F8"/>
    <w:rsid w:val="004F39DB"/>
    <w:rsid w:val="004F48A1"/>
    <w:rsid w:val="004F5B04"/>
    <w:rsid w:val="004F67BA"/>
    <w:rsid w:val="00502A07"/>
    <w:rsid w:val="0050453C"/>
    <w:rsid w:val="00507354"/>
    <w:rsid w:val="00513043"/>
    <w:rsid w:val="00513921"/>
    <w:rsid w:val="00525454"/>
    <w:rsid w:val="00530485"/>
    <w:rsid w:val="00533B7F"/>
    <w:rsid w:val="0053730B"/>
    <w:rsid w:val="0054160C"/>
    <w:rsid w:val="00541BDF"/>
    <w:rsid w:val="00543401"/>
    <w:rsid w:val="00557AD4"/>
    <w:rsid w:val="0057266E"/>
    <w:rsid w:val="00575050"/>
    <w:rsid w:val="005821E8"/>
    <w:rsid w:val="00582781"/>
    <w:rsid w:val="005834DE"/>
    <w:rsid w:val="00583757"/>
    <w:rsid w:val="00584396"/>
    <w:rsid w:val="00594401"/>
    <w:rsid w:val="00595C93"/>
    <w:rsid w:val="005A421C"/>
    <w:rsid w:val="005B3F71"/>
    <w:rsid w:val="005B669A"/>
    <w:rsid w:val="005B7F43"/>
    <w:rsid w:val="005C016B"/>
    <w:rsid w:val="005C041C"/>
    <w:rsid w:val="005C1545"/>
    <w:rsid w:val="005C404D"/>
    <w:rsid w:val="005D2453"/>
    <w:rsid w:val="005D5404"/>
    <w:rsid w:val="005E2DB4"/>
    <w:rsid w:val="005F0460"/>
    <w:rsid w:val="005F301B"/>
    <w:rsid w:val="005F634E"/>
    <w:rsid w:val="005F71DD"/>
    <w:rsid w:val="005F778A"/>
    <w:rsid w:val="005F79D2"/>
    <w:rsid w:val="00601693"/>
    <w:rsid w:val="006017F1"/>
    <w:rsid w:val="00621C6C"/>
    <w:rsid w:val="00623933"/>
    <w:rsid w:val="00624298"/>
    <w:rsid w:val="00624BA0"/>
    <w:rsid w:val="00626C2E"/>
    <w:rsid w:val="00627B71"/>
    <w:rsid w:val="00633318"/>
    <w:rsid w:val="0064089C"/>
    <w:rsid w:val="00644A4D"/>
    <w:rsid w:val="00645E8B"/>
    <w:rsid w:val="00646C02"/>
    <w:rsid w:val="00646D8A"/>
    <w:rsid w:val="00651DAB"/>
    <w:rsid w:val="0066444D"/>
    <w:rsid w:val="0066538D"/>
    <w:rsid w:val="00666661"/>
    <w:rsid w:val="00671B7F"/>
    <w:rsid w:val="006760AF"/>
    <w:rsid w:val="00682A04"/>
    <w:rsid w:val="00686B8F"/>
    <w:rsid w:val="0068710E"/>
    <w:rsid w:val="00691AF0"/>
    <w:rsid w:val="006A0674"/>
    <w:rsid w:val="006A1A56"/>
    <w:rsid w:val="006A4F69"/>
    <w:rsid w:val="006A5F9D"/>
    <w:rsid w:val="006A6F7D"/>
    <w:rsid w:val="006B610B"/>
    <w:rsid w:val="006B6EAE"/>
    <w:rsid w:val="006B7806"/>
    <w:rsid w:val="006C0956"/>
    <w:rsid w:val="006D15E1"/>
    <w:rsid w:val="006D2F55"/>
    <w:rsid w:val="006D7850"/>
    <w:rsid w:val="006E03F4"/>
    <w:rsid w:val="006E0B2F"/>
    <w:rsid w:val="006E15EF"/>
    <w:rsid w:val="006E1F10"/>
    <w:rsid w:val="006E2561"/>
    <w:rsid w:val="006E2F1D"/>
    <w:rsid w:val="006E33B6"/>
    <w:rsid w:val="006E3FBB"/>
    <w:rsid w:val="006E61E4"/>
    <w:rsid w:val="006F69C9"/>
    <w:rsid w:val="00701891"/>
    <w:rsid w:val="00702331"/>
    <w:rsid w:val="00704730"/>
    <w:rsid w:val="00710274"/>
    <w:rsid w:val="00710355"/>
    <w:rsid w:val="007118FD"/>
    <w:rsid w:val="00722CC0"/>
    <w:rsid w:val="00723082"/>
    <w:rsid w:val="00723129"/>
    <w:rsid w:val="007264E0"/>
    <w:rsid w:val="00731E9E"/>
    <w:rsid w:val="0073640E"/>
    <w:rsid w:val="00737BF6"/>
    <w:rsid w:val="00740979"/>
    <w:rsid w:val="00742439"/>
    <w:rsid w:val="00742C77"/>
    <w:rsid w:val="00743A19"/>
    <w:rsid w:val="00744194"/>
    <w:rsid w:val="00744A5E"/>
    <w:rsid w:val="00744A86"/>
    <w:rsid w:val="00745075"/>
    <w:rsid w:val="00753777"/>
    <w:rsid w:val="0076044A"/>
    <w:rsid w:val="0076360B"/>
    <w:rsid w:val="0076648D"/>
    <w:rsid w:val="00767DA9"/>
    <w:rsid w:val="007720ED"/>
    <w:rsid w:val="007739D2"/>
    <w:rsid w:val="00773F88"/>
    <w:rsid w:val="007802DD"/>
    <w:rsid w:val="00783629"/>
    <w:rsid w:val="007838CD"/>
    <w:rsid w:val="0078576B"/>
    <w:rsid w:val="00791F5F"/>
    <w:rsid w:val="00796A64"/>
    <w:rsid w:val="007975D7"/>
    <w:rsid w:val="00797C8A"/>
    <w:rsid w:val="007A48AD"/>
    <w:rsid w:val="007A4BA0"/>
    <w:rsid w:val="007A572A"/>
    <w:rsid w:val="007A5F60"/>
    <w:rsid w:val="007B1023"/>
    <w:rsid w:val="007B2744"/>
    <w:rsid w:val="007B5BB3"/>
    <w:rsid w:val="007B74FD"/>
    <w:rsid w:val="007C0820"/>
    <w:rsid w:val="007C3432"/>
    <w:rsid w:val="007D52F5"/>
    <w:rsid w:val="007E23D5"/>
    <w:rsid w:val="007E4ED2"/>
    <w:rsid w:val="007F56F3"/>
    <w:rsid w:val="007F7697"/>
    <w:rsid w:val="00802518"/>
    <w:rsid w:val="00803012"/>
    <w:rsid w:val="00803459"/>
    <w:rsid w:val="00804930"/>
    <w:rsid w:val="008051A3"/>
    <w:rsid w:val="00806342"/>
    <w:rsid w:val="008274AC"/>
    <w:rsid w:val="00830ADE"/>
    <w:rsid w:val="008315B2"/>
    <w:rsid w:val="008326B0"/>
    <w:rsid w:val="00834077"/>
    <w:rsid w:val="0083459C"/>
    <w:rsid w:val="00841D3F"/>
    <w:rsid w:val="00842DDB"/>
    <w:rsid w:val="008442A7"/>
    <w:rsid w:val="00862774"/>
    <w:rsid w:val="00863911"/>
    <w:rsid w:val="008704AE"/>
    <w:rsid w:val="008706A7"/>
    <w:rsid w:val="00870A2C"/>
    <w:rsid w:val="0088397C"/>
    <w:rsid w:val="00883FED"/>
    <w:rsid w:val="00890F35"/>
    <w:rsid w:val="00891706"/>
    <w:rsid w:val="00892C8A"/>
    <w:rsid w:val="008A4AA1"/>
    <w:rsid w:val="008B3FF6"/>
    <w:rsid w:val="008B46B9"/>
    <w:rsid w:val="008D063B"/>
    <w:rsid w:val="008D37F0"/>
    <w:rsid w:val="008D3AF2"/>
    <w:rsid w:val="008D7D33"/>
    <w:rsid w:val="008E1C12"/>
    <w:rsid w:val="008E1F4A"/>
    <w:rsid w:val="008F57BA"/>
    <w:rsid w:val="00903B36"/>
    <w:rsid w:val="009053D4"/>
    <w:rsid w:val="00906B31"/>
    <w:rsid w:val="009114AF"/>
    <w:rsid w:val="009123A7"/>
    <w:rsid w:val="00915005"/>
    <w:rsid w:val="009219D1"/>
    <w:rsid w:val="00925789"/>
    <w:rsid w:val="009257F9"/>
    <w:rsid w:val="00926F9D"/>
    <w:rsid w:val="00934426"/>
    <w:rsid w:val="009350C1"/>
    <w:rsid w:val="009415B3"/>
    <w:rsid w:val="009428BA"/>
    <w:rsid w:val="00943D67"/>
    <w:rsid w:val="009447DA"/>
    <w:rsid w:val="00954D17"/>
    <w:rsid w:val="00954FA3"/>
    <w:rsid w:val="0095731E"/>
    <w:rsid w:val="00963096"/>
    <w:rsid w:val="00966F88"/>
    <w:rsid w:val="009723B1"/>
    <w:rsid w:val="009724FF"/>
    <w:rsid w:val="00974745"/>
    <w:rsid w:val="009756DD"/>
    <w:rsid w:val="009773EE"/>
    <w:rsid w:val="00983697"/>
    <w:rsid w:val="00983EFB"/>
    <w:rsid w:val="00984D24"/>
    <w:rsid w:val="009855E7"/>
    <w:rsid w:val="00995824"/>
    <w:rsid w:val="00995C67"/>
    <w:rsid w:val="0099690B"/>
    <w:rsid w:val="009A088A"/>
    <w:rsid w:val="009A18CD"/>
    <w:rsid w:val="009A4887"/>
    <w:rsid w:val="009A6004"/>
    <w:rsid w:val="009B24FA"/>
    <w:rsid w:val="009B46AE"/>
    <w:rsid w:val="009B67D4"/>
    <w:rsid w:val="009C0576"/>
    <w:rsid w:val="009C15C5"/>
    <w:rsid w:val="009D2A07"/>
    <w:rsid w:val="009D2C85"/>
    <w:rsid w:val="009D2DB3"/>
    <w:rsid w:val="009D35DC"/>
    <w:rsid w:val="009D57A6"/>
    <w:rsid w:val="009D5C8D"/>
    <w:rsid w:val="009D6398"/>
    <w:rsid w:val="009E21DF"/>
    <w:rsid w:val="009E4A77"/>
    <w:rsid w:val="009E68ED"/>
    <w:rsid w:val="009E7BEF"/>
    <w:rsid w:val="009F070C"/>
    <w:rsid w:val="009F2C70"/>
    <w:rsid w:val="009F7A69"/>
    <w:rsid w:val="00A065F3"/>
    <w:rsid w:val="00A06743"/>
    <w:rsid w:val="00A118F3"/>
    <w:rsid w:val="00A13865"/>
    <w:rsid w:val="00A16A45"/>
    <w:rsid w:val="00A23697"/>
    <w:rsid w:val="00A2627F"/>
    <w:rsid w:val="00A271A6"/>
    <w:rsid w:val="00A3075D"/>
    <w:rsid w:val="00A314E6"/>
    <w:rsid w:val="00A34D23"/>
    <w:rsid w:val="00A3662D"/>
    <w:rsid w:val="00A42463"/>
    <w:rsid w:val="00A447E8"/>
    <w:rsid w:val="00A50B58"/>
    <w:rsid w:val="00A5563A"/>
    <w:rsid w:val="00A60AA1"/>
    <w:rsid w:val="00A62A7C"/>
    <w:rsid w:val="00A66278"/>
    <w:rsid w:val="00A66A79"/>
    <w:rsid w:val="00A6783F"/>
    <w:rsid w:val="00A71FB9"/>
    <w:rsid w:val="00A77759"/>
    <w:rsid w:val="00A77B49"/>
    <w:rsid w:val="00A80229"/>
    <w:rsid w:val="00A80236"/>
    <w:rsid w:val="00A82CE4"/>
    <w:rsid w:val="00A83175"/>
    <w:rsid w:val="00A85976"/>
    <w:rsid w:val="00A85E51"/>
    <w:rsid w:val="00A86DCC"/>
    <w:rsid w:val="00A9083E"/>
    <w:rsid w:val="00A97D93"/>
    <w:rsid w:val="00AA28CE"/>
    <w:rsid w:val="00AA31BB"/>
    <w:rsid w:val="00AA4066"/>
    <w:rsid w:val="00AA5C27"/>
    <w:rsid w:val="00AA60BF"/>
    <w:rsid w:val="00AA682E"/>
    <w:rsid w:val="00AA6B6C"/>
    <w:rsid w:val="00AA7569"/>
    <w:rsid w:val="00AB08B9"/>
    <w:rsid w:val="00AC6CFF"/>
    <w:rsid w:val="00AC7057"/>
    <w:rsid w:val="00AD729D"/>
    <w:rsid w:val="00AD7340"/>
    <w:rsid w:val="00AD7D13"/>
    <w:rsid w:val="00AE3CF5"/>
    <w:rsid w:val="00AF1BCB"/>
    <w:rsid w:val="00AF1D79"/>
    <w:rsid w:val="00AF28D2"/>
    <w:rsid w:val="00AF29B2"/>
    <w:rsid w:val="00AF2FED"/>
    <w:rsid w:val="00AF44F5"/>
    <w:rsid w:val="00AF69D1"/>
    <w:rsid w:val="00B00EF3"/>
    <w:rsid w:val="00B04D3C"/>
    <w:rsid w:val="00B07083"/>
    <w:rsid w:val="00B15A57"/>
    <w:rsid w:val="00B178A6"/>
    <w:rsid w:val="00B22EFC"/>
    <w:rsid w:val="00B2367D"/>
    <w:rsid w:val="00B25307"/>
    <w:rsid w:val="00B27FBE"/>
    <w:rsid w:val="00B31D94"/>
    <w:rsid w:val="00B36D28"/>
    <w:rsid w:val="00B44C13"/>
    <w:rsid w:val="00B61AB3"/>
    <w:rsid w:val="00B62E07"/>
    <w:rsid w:val="00B63C0A"/>
    <w:rsid w:val="00B66C56"/>
    <w:rsid w:val="00B765FF"/>
    <w:rsid w:val="00B80BBB"/>
    <w:rsid w:val="00B81381"/>
    <w:rsid w:val="00B9437F"/>
    <w:rsid w:val="00BA658A"/>
    <w:rsid w:val="00BA6D83"/>
    <w:rsid w:val="00BB1369"/>
    <w:rsid w:val="00BB2321"/>
    <w:rsid w:val="00BB36F0"/>
    <w:rsid w:val="00BB3A8A"/>
    <w:rsid w:val="00BB4F59"/>
    <w:rsid w:val="00BB6C89"/>
    <w:rsid w:val="00BC2F44"/>
    <w:rsid w:val="00BC3D1E"/>
    <w:rsid w:val="00BC4093"/>
    <w:rsid w:val="00BC4A44"/>
    <w:rsid w:val="00BC4C2D"/>
    <w:rsid w:val="00BC5499"/>
    <w:rsid w:val="00BC6AAF"/>
    <w:rsid w:val="00BD2B9F"/>
    <w:rsid w:val="00BD2E02"/>
    <w:rsid w:val="00BD7780"/>
    <w:rsid w:val="00BE2757"/>
    <w:rsid w:val="00BE3607"/>
    <w:rsid w:val="00BE4C11"/>
    <w:rsid w:val="00BF0BE2"/>
    <w:rsid w:val="00BF5A9E"/>
    <w:rsid w:val="00BF64CA"/>
    <w:rsid w:val="00C01325"/>
    <w:rsid w:val="00C06543"/>
    <w:rsid w:val="00C06B06"/>
    <w:rsid w:val="00C17175"/>
    <w:rsid w:val="00C2112F"/>
    <w:rsid w:val="00C27A13"/>
    <w:rsid w:val="00C300E9"/>
    <w:rsid w:val="00C365EC"/>
    <w:rsid w:val="00C42DFA"/>
    <w:rsid w:val="00C44562"/>
    <w:rsid w:val="00C47E5E"/>
    <w:rsid w:val="00C53477"/>
    <w:rsid w:val="00C53A7A"/>
    <w:rsid w:val="00C53EB6"/>
    <w:rsid w:val="00C62B54"/>
    <w:rsid w:val="00C62BE1"/>
    <w:rsid w:val="00C635A0"/>
    <w:rsid w:val="00C6687F"/>
    <w:rsid w:val="00C7123D"/>
    <w:rsid w:val="00C71AA0"/>
    <w:rsid w:val="00C72200"/>
    <w:rsid w:val="00C742AE"/>
    <w:rsid w:val="00C74705"/>
    <w:rsid w:val="00C811FD"/>
    <w:rsid w:val="00C83200"/>
    <w:rsid w:val="00C84839"/>
    <w:rsid w:val="00C861AF"/>
    <w:rsid w:val="00CA0598"/>
    <w:rsid w:val="00CA13EA"/>
    <w:rsid w:val="00CA3B05"/>
    <w:rsid w:val="00CA43D5"/>
    <w:rsid w:val="00CA7E58"/>
    <w:rsid w:val="00CB0504"/>
    <w:rsid w:val="00CB2029"/>
    <w:rsid w:val="00CB4ADC"/>
    <w:rsid w:val="00CC1D95"/>
    <w:rsid w:val="00CC214D"/>
    <w:rsid w:val="00CC2391"/>
    <w:rsid w:val="00CC6A12"/>
    <w:rsid w:val="00CC7EA8"/>
    <w:rsid w:val="00CD61E5"/>
    <w:rsid w:val="00CE2370"/>
    <w:rsid w:val="00CE5502"/>
    <w:rsid w:val="00CF5B1E"/>
    <w:rsid w:val="00CF6267"/>
    <w:rsid w:val="00CF648E"/>
    <w:rsid w:val="00D006FC"/>
    <w:rsid w:val="00D00A26"/>
    <w:rsid w:val="00D05040"/>
    <w:rsid w:val="00D1104F"/>
    <w:rsid w:val="00D21CD9"/>
    <w:rsid w:val="00D21E1A"/>
    <w:rsid w:val="00D22BB0"/>
    <w:rsid w:val="00D3572B"/>
    <w:rsid w:val="00D375D8"/>
    <w:rsid w:val="00D44961"/>
    <w:rsid w:val="00D461A5"/>
    <w:rsid w:val="00D464D5"/>
    <w:rsid w:val="00D47520"/>
    <w:rsid w:val="00D47F06"/>
    <w:rsid w:val="00D5540F"/>
    <w:rsid w:val="00D56C6B"/>
    <w:rsid w:val="00D6169B"/>
    <w:rsid w:val="00D61B9E"/>
    <w:rsid w:val="00D62E90"/>
    <w:rsid w:val="00D63C1B"/>
    <w:rsid w:val="00D71E68"/>
    <w:rsid w:val="00D77B5E"/>
    <w:rsid w:val="00DA044E"/>
    <w:rsid w:val="00DB612F"/>
    <w:rsid w:val="00DB79EE"/>
    <w:rsid w:val="00DC1E74"/>
    <w:rsid w:val="00DC3D2B"/>
    <w:rsid w:val="00DD2DD5"/>
    <w:rsid w:val="00DE39AE"/>
    <w:rsid w:val="00DE6114"/>
    <w:rsid w:val="00DF3285"/>
    <w:rsid w:val="00DF46AB"/>
    <w:rsid w:val="00E03ED8"/>
    <w:rsid w:val="00E04BD0"/>
    <w:rsid w:val="00E07E14"/>
    <w:rsid w:val="00E20FC4"/>
    <w:rsid w:val="00E24FC6"/>
    <w:rsid w:val="00E276C2"/>
    <w:rsid w:val="00E31C05"/>
    <w:rsid w:val="00E32AC1"/>
    <w:rsid w:val="00E453DD"/>
    <w:rsid w:val="00E45BF9"/>
    <w:rsid w:val="00E45D2D"/>
    <w:rsid w:val="00E52389"/>
    <w:rsid w:val="00E53857"/>
    <w:rsid w:val="00E56C25"/>
    <w:rsid w:val="00E579F5"/>
    <w:rsid w:val="00E6607F"/>
    <w:rsid w:val="00E72CA6"/>
    <w:rsid w:val="00E7597C"/>
    <w:rsid w:val="00E8194E"/>
    <w:rsid w:val="00E8671D"/>
    <w:rsid w:val="00E86E53"/>
    <w:rsid w:val="00E8757F"/>
    <w:rsid w:val="00E908C9"/>
    <w:rsid w:val="00E962FF"/>
    <w:rsid w:val="00EA3E0C"/>
    <w:rsid w:val="00EA69E3"/>
    <w:rsid w:val="00EA6C3A"/>
    <w:rsid w:val="00EA71EF"/>
    <w:rsid w:val="00EC060C"/>
    <w:rsid w:val="00EC10B0"/>
    <w:rsid w:val="00EC6720"/>
    <w:rsid w:val="00EC73BB"/>
    <w:rsid w:val="00ED0B7D"/>
    <w:rsid w:val="00ED10A5"/>
    <w:rsid w:val="00ED22AA"/>
    <w:rsid w:val="00ED546A"/>
    <w:rsid w:val="00EE3459"/>
    <w:rsid w:val="00EE4577"/>
    <w:rsid w:val="00EF1C38"/>
    <w:rsid w:val="00EF4989"/>
    <w:rsid w:val="00F011F4"/>
    <w:rsid w:val="00F03398"/>
    <w:rsid w:val="00F065A9"/>
    <w:rsid w:val="00F153B9"/>
    <w:rsid w:val="00F175D2"/>
    <w:rsid w:val="00F24B02"/>
    <w:rsid w:val="00F30FD1"/>
    <w:rsid w:val="00F31814"/>
    <w:rsid w:val="00F34388"/>
    <w:rsid w:val="00F40028"/>
    <w:rsid w:val="00F40CD1"/>
    <w:rsid w:val="00F43042"/>
    <w:rsid w:val="00F4449A"/>
    <w:rsid w:val="00F515F4"/>
    <w:rsid w:val="00F54069"/>
    <w:rsid w:val="00F55974"/>
    <w:rsid w:val="00F570B0"/>
    <w:rsid w:val="00F65F1F"/>
    <w:rsid w:val="00F743B3"/>
    <w:rsid w:val="00F74F33"/>
    <w:rsid w:val="00F829B4"/>
    <w:rsid w:val="00F85389"/>
    <w:rsid w:val="00F85744"/>
    <w:rsid w:val="00F92C73"/>
    <w:rsid w:val="00F97982"/>
    <w:rsid w:val="00FA2216"/>
    <w:rsid w:val="00FA22DD"/>
    <w:rsid w:val="00FA359C"/>
    <w:rsid w:val="00FA7B8E"/>
    <w:rsid w:val="00FB14D4"/>
    <w:rsid w:val="00FB5286"/>
    <w:rsid w:val="00FC532F"/>
    <w:rsid w:val="00FC70E8"/>
    <w:rsid w:val="00FC72E2"/>
    <w:rsid w:val="00FD097B"/>
    <w:rsid w:val="00FD423A"/>
    <w:rsid w:val="00FE338B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84B6"/>
  <w15:docId w15:val="{45FA0C0A-7DCB-415E-AE5D-9400936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65"/>
  </w:style>
  <w:style w:type="paragraph" w:styleId="Footer">
    <w:name w:val="footer"/>
    <w:basedOn w:val="Normal"/>
    <w:link w:val="FooterChar"/>
    <w:uiPriority w:val="99"/>
    <w:unhideWhenUsed/>
    <w:rsid w:val="00A1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65"/>
  </w:style>
  <w:style w:type="paragraph" w:styleId="List">
    <w:name w:val="List"/>
    <w:basedOn w:val="Normal"/>
    <w:rsid w:val="00CE2370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LightList-Accent5">
    <w:name w:val="Light List Accent 5"/>
    <w:basedOn w:val="TableNormal"/>
    <w:uiPriority w:val="61"/>
    <w:rsid w:val="00943D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E23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A8A8-9060-43E7-B254-6B6FD0AB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 Exchange Stock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Minh Tai;Pham Trong Nghia</dc:creator>
  <cp:lastModifiedBy>Nguyen Thi Minh Hoang</cp:lastModifiedBy>
  <cp:revision>2</cp:revision>
  <cp:lastPrinted>2019-02-18T04:21:00Z</cp:lastPrinted>
  <dcterms:created xsi:type="dcterms:W3CDTF">2019-06-10T02:58:00Z</dcterms:created>
  <dcterms:modified xsi:type="dcterms:W3CDTF">2019-06-10T02:58:00Z</dcterms:modified>
</cp:coreProperties>
</file>